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B8C" w:rsidRDefault="00476B9A">
      <w:pPr>
        <w:kinsoku w:val="0"/>
        <w:overflowPunct w:val="0"/>
        <w:autoSpaceDE/>
        <w:autoSpaceDN/>
        <w:adjustRightInd/>
        <w:spacing w:line="268" w:lineRule="exact"/>
        <w:jc w:val="center"/>
        <w:textAlignment w:val="baseline"/>
        <w:rPr>
          <w:b/>
          <w:bCs/>
          <w:spacing w:val="2"/>
          <w:sz w:val="24"/>
          <w:szCs w:val="24"/>
          <w:lang w:val="es-ES" w:eastAsia="es-ES"/>
        </w:rPr>
      </w:pPr>
      <w:proofErr w:type="gramStart"/>
      <w:r>
        <w:rPr>
          <w:b/>
          <w:bCs/>
          <w:spacing w:val="2"/>
          <w:sz w:val="24"/>
          <w:szCs w:val="24"/>
          <w:lang w:val="es-ES" w:eastAsia="es-ES"/>
        </w:rPr>
        <w:t>RESOLUCIÓN N.</w:t>
      </w:r>
      <w:proofErr w:type="gramEnd"/>
      <w:r>
        <w:rPr>
          <w:b/>
          <w:bCs/>
          <w:spacing w:val="2"/>
          <w:sz w:val="24"/>
          <w:szCs w:val="24"/>
          <w:lang w:val="es-ES" w:eastAsia="es-ES"/>
        </w:rPr>
        <w:t xml:space="preserve"> TAT-3324-2017</w:t>
      </w:r>
    </w:p>
    <w:p w:rsidR="002E7B8C" w:rsidRDefault="00476B9A">
      <w:pPr>
        <w:kinsoku w:val="0"/>
        <w:overflowPunct w:val="0"/>
        <w:autoSpaceDE/>
        <w:autoSpaceDN/>
        <w:adjustRightInd/>
        <w:spacing w:before="330" w:line="315" w:lineRule="exact"/>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con diez minutos del treinta y uno de octubre del dos mil diecisiete.</w:t>
      </w:r>
    </w:p>
    <w:p w:rsidR="002E7B8C" w:rsidRDefault="00476B9A">
      <w:pPr>
        <w:kinsoku w:val="0"/>
        <w:overflowPunct w:val="0"/>
        <w:autoSpaceDE/>
        <w:autoSpaceDN/>
        <w:adjustRightInd/>
        <w:spacing w:before="321" w:line="316" w:lineRule="exact"/>
        <w:jc w:val="both"/>
        <w:textAlignment w:val="baseline"/>
        <w:rPr>
          <w:b/>
          <w:bCs/>
          <w:sz w:val="24"/>
          <w:szCs w:val="24"/>
          <w:lang w:val="es-ES" w:eastAsia="es-ES"/>
        </w:rPr>
      </w:pPr>
      <w:r>
        <w:rPr>
          <w:sz w:val="24"/>
          <w:szCs w:val="24"/>
          <w:lang w:val="es-ES" w:eastAsia="es-ES"/>
        </w:rPr>
        <w:t xml:space="preserve">Se conoce </w:t>
      </w:r>
      <w:r w:rsidRPr="00E603DB">
        <w:rPr>
          <w:b/>
          <w:lang w:val="es-ES" w:eastAsia="es-ES"/>
        </w:rPr>
        <w:t>RECURSO DE APELACIÓN EN SUBSIDIO Y NULIDAD ABSOLUTA CONCOMITANTE,</w:t>
      </w:r>
      <w:r>
        <w:rPr>
          <w:lang w:val="es-ES" w:eastAsia="es-ES"/>
        </w:rPr>
        <w:t xml:space="preserve"> </w:t>
      </w:r>
      <w:r>
        <w:rPr>
          <w:sz w:val="24"/>
          <w:szCs w:val="24"/>
          <w:lang w:val="es-ES" w:eastAsia="es-ES"/>
        </w:rPr>
        <w:t xml:space="preserve">interpuesto por la empresa </w:t>
      </w:r>
      <w:r w:rsidRPr="00E603DB">
        <w:rPr>
          <w:b/>
          <w:lang w:val="es-ES" w:eastAsia="es-ES"/>
        </w:rPr>
        <w:t>TRANSPORTES COSTARRICENSES PANAMEÑOS LTDA.,</w:t>
      </w:r>
      <w:r>
        <w:rPr>
          <w:lang w:val="es-ES" w:eastAsia="es-ES"/>
        </w:rPr>
        <w:t xml:space="preserve"> </w:t>
      </w:r>
      <w:r>
        <w:rPr>
          <w:sz w:val="24"/>
          <w:szCs w:val="24"/>
          <w:lang w:val="es-ES" w:eastAsia="es-ES"/>
        </w:rPr>
        <w:t xml:space="preserve">cédula jurídica número </w:t>
      </w:r>
      <w:r w:rsidR="00E603DB">
        <w:rPr>
          <w:sz w:val="24"/>
          <w:szCs w:val="24"/>
          <w:lang w:val="es-ES" w:eastAsia="es-ES"/>
        </w:rPr>
        <w:t>…</w:t>
      </w:r>
      <w:r>
        <w:rPr>
          <w:sz w:val="24"/>
          <w:szCs w:val="24"/>
          <w:lang w:val="es-ES" w:eastAsia="es-ES"/>
        </w:rPr>
        <w:t xml:space="preserve">; representada por </w:t>
      </w:r>
      <w:r w:rsidRPr="00E603DB">
        <w:rPr>
          <w:b/>
          <w:lang w:val="es-ES" w:eastAsia="es-ES"/>
        </w:rPr>
        <w:t>R</w:t>
      </w:r>
      <w:r w:rsidR="00E603DB">
        <w:rPr>
          <w:b/>
          <w:lang w:val="es-ES" w:eastAsia="es-ES"/>
        </w:rPr>
        <w:t>.S.S.K.</w:t>
      </w:r>
      <w:r>
        <w:rPr>
          <w:lang w:val="es-ES" w:eastAsia="es-ES"/>
        </w:rPr>
        <w:t xml:space="preserve">, </w:t>
      </w:r>
      <w:r>
        <w:rPr>
          <w:sz w:val="24"/>
          <w:szCs w:val="24"/>
          <w:lang w:val="es-ES" w:eastAsia="es-ES"/>
        </w:rPr>
        <w:t xml:space="preserve">portador de la cédula de identidad número </w:t>
      </w:r>
      <w:r w:rsidR="00E603DB">
        <w:rPr>
          <w:sz w:val="24"/>
          <w:szCs w:val="24"/>
          <w:lang w:val="es-ES" w:eastAsia="es-ES"/>
        </w:rPr>
        <w:t>…</w:t>
      </w:r>
      <w:r>
        <w:rPr>
          <w:sz w:val="24"/>
          <w:szCs w:val="24"/>
          <w:lang w:val="es-ES" w:eastAsia="es-ES"/>
        </w:rPr>
        <w:t xml:space="preserve">, en su condición de apoderado generalísimo sin límite de suma; en contra del </w:t>
      </w:r>
      <w:r>
        <w:rPr>
          <w:b/>
          <w:bCs/>
          <w:sz w:val="24"/>
          <w:szCs w:val="24"/>
          <w:lang w:val="es-ES" w:eastAsia="es-ES"/>
        </w:rPr>
        <w:t>Artículo 7.12 de la Sesión Ordinaria 61</w:t>
      </w:r>
      <w:r>
        <w:rPr>
          <w:b/>
          <w:bCs/>
          <w:sz w:val="24"/>
          <w:szCs w:val="24"/>
          <w:lang w:val="es-ES" w:eastAsia="es-ES"/>
        </w:rPr>
        <w:softHyphen/>
        <w:t xml:space="preserve">2016, celebrada el 1° de diciembre del 2016 </w:t>
      </w:r>
      <w:r>
        <w:rPr>
          <w:sz w:val="24"/>
          <w:szCs w:val="24"/>
          <w:lang w:val="es-ES" w:eastAsia="es-ES"/>
        </w:rPr>
        <w:t xml:space="preserve">y tramitado en este Despacho bajo el expediente administrativo número </w:t>
      </w:r>
      <w:r>
        <w:rPr>
          <w:b/>
          <w:bCs/>
          <w:sz w:val="24"/>
          <w:szCs w:val="24"/>
          <w:lang w:val="es-ES" w:eastAsia="es-ES"/>
        </w:rPr>
        <w:t>TAT-223-16.</w:t>
      </w:r>
    </w:p>
    <w:p w:rsidR="002E7B8C" w:rsidRDefault="00476B9A">
      <w:pPr>
        <w:kinsoku w:val="0"/>
        <w:overflowPunct w:val="0"/>
        <w:autoSpaceDE/>
        <w:autoSpaceDN/>
        <w:adjustRightInd/>
        <w:spacing w:before="364" w:line="264" w:lineRule="exact"/>
        <w:jc w:val="center"/>
        <w:textAlignment w:val="baseline"/>
        <w:rPr>
          <w:b/>
          <w:bCs/>
          <w:sz w:val="24"/>
          <w:szCs w:val="24"/>
          <w:lang w:val="es-ES" w:eastAsia="es-ES"/>
        </w:rPr>
      </w:pPr>
      <w:r>
        <w:rPr>
          <w:b/>
          <w:bCs/>
          <w:sz w:val="24"/>
          <w:szCs w:val="24"/>
          <w:lang w:val="es-ES" w:eastAsia="es-ES"/>
        </w:rPr>
        <w:t>RESULTANDO</w:t>
      </w:r>
    </w:p>
    <w:p w:rsidR="002E7B8C" w:rsidRDefault="00476B9A">
      <w:pPr>
        <w:kinsoku w:val="0"/>
        <w:overflowPunct w:val="0"/>
        <w:autoSpaceDE/>
        <w:autoSpaceDN/>
        <w:adjustRightInd/>
        <w:spacing w:before="333" w:line="313" w:lineRule="exact"/>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Transporte Público, en el </w:t>
      </w:r>
      <w:r>
        <w:rPr>
          <w:b/>
          <w:bCs/>
          <w:sz w:val="24"/>
          <w:szCs w:val="24"/>
          <w:lang w:val="es-ES" w:eastAsia="es-ES"/>
        </w:rPr>
        <w:t xml:space="preserve">Artículo 7.12 de la Sesión Ordinaria 61-2016, celebrada el 1° de diciembre del 2016, </w:t>
      </w:r>
      <w:r>
        <w:rPr>
          <w:sz w:val="24"/>
          <w:szCs w:val="24"/>
          <w:lang w:val="es-ES" w:eastAsia="es-ES"/>
        </w:rPr>
        <w:t>acuerda aprobar los lineamientos para el traslado, custodia y entrega del equipaje de los usuarios de transporte público modalidad autobús:</w:t>
      </w:r>
    </w:p>
    <w:p w:rsidR="002E7B8C" w:rsidRPr="00E603DB" w:rsidRDefault="00476B9A">
      <w:pPr>
        <w:kinsoku w:val="0"/>
        <w:overflowPunct w:val="0"/>
        <w:autoSpaceDE/>
        <w:autoSpaceDN/>
        <w:adjustRightInd/>
        <w:spacing w:before="269" w:line="227" w:lineRule="exact"/>
        <w:ind w:left="864"/>
        <w:jc w:val="both"/>
        <w:textAlignment w:val="baseline"/>
        <w:rPr>
          <w:b/>
          <w:spacing w:val="4"/>
          <w:lang w:val="es-ES" w:eastAsia="es-ES"/>
        </w:rPr>
      </w:pPr>
      <w:r w:rsidRPr="00E603DB">
        <w:rPr>
          <w:b/>
          <w:spacing w:val="4"/>
          <w:lang w:val="es-ES" w:eastAsia="es-ES"/>
        </w:rPr>
        <w:t>"CONSIDERANDO:</w:t>
      </w:r>
    </w:p>
    <w:p w:rsidR="002E7B8C" w:rsidRDefault="00476B9A">
      <w:pPr>
        <w:kinsoku w:val="0"/>
        <w:overflowPunct w:val="0"/>
        <w:autoSpaceDE/>
        <w:autoSpaceDN/>
        <w:adjustRightInd/>
        <w:spacing w:before="12" w:line="225" w:lineRule="exact"/>
        <w:ind w:left="864" w:right="864"/>
        <w:jc w:val="both"/>
        <w:textAlignment w:val="baseline"/>
        <w:rPr>
          <w:lang w:val="es-ES" w:eastAsia="es-ES"/>
        </w:rPr>
      </w:pPr>
      <w:r w:rsidRPr="00E603DB">
        <w:rPr>
          <w:b/>
          <w:lang w:val="es-ES" w:eastAsia="es-ES"/>
        </w:rPr>
        <w:t>ÚNICO:</w:t>
      </w:r>
      <w:r>
        <w:rPr>
          <w:lang w:val="es-ES" w:eastAsia="es-ES"/>
        </w:rPr>
        <w:t xml:space="preserve"> Este Órgano Colegiado procede analizar el oficio </w:t>
      </w:r>
      <w:r w:rsidRPr="00E603DB">
        <w:rPr>
          <w:b/>
          <w:lang w:val="es-ES" w:eastAsia="es-ES"/>
        </w:rPr>
        <w:t>DAJ 2016-004045</w:t>
      </w:r>
      <w:r>
        <w:rPr>
          <w:lang w:val="es-ES" w:eastAsia="es-ES"/>
        </w:rPr>
        <w:t xml:space="preserve">, referente al oficio </w:t>
      </w:r>
      <w:proofErr w:type="spellStart"/>
      <w:r w:rsidRPr="00E603DB">
        <w:rPr>
          <w:b/>
          <w:lang w:val="es-ES" w:eastAsia="es-ES"/>
        </w:rPr>
        <w:t>N°</w:t>
      </w:r>
      <w:proofErr w:type="spellEnd"/>
      <w:r w:rsidRPr="00E603DB">
        <w:rPr>
          <w:b/>
          <w:lang w:val="es-ES" w:eastAsia="es-ES"/>
        </w:rPr>
        <w:t xml:space="preserve"> 03464-2016-</w:t>
      </w:r>
      <w:proofErr w:type="spellStart"/>
      <w:r w:rsidRPr="00E603DB">
        <w:rPr>
          <w:b/>
          <w:lang w:val="es-ES" w:eastAsia="es-ES"/>
        </w:rPr>
        <w:t>DHR</w:t>
      </w:r>
      <w:proofErr w:type="spellEnd"/>
      <w:r w:rsidRPr="00E603DB">
        <w:rPr>
          <w:b/>
          <w:lang w:val="es-ES" w:eastAsia="es-ES"/>
        </w:rPr>
        <w:t xml:space="preserve"> (</w:t>
      </w:r>
      <w:proofErr w:type="spellStart"/>
      <w:r w:rsidRPr="00E603DB">
        <w:rPr>
          <w:b/>
          <w:lang w:val="es-ES" w:eastAsia="es-ES"/>
        </w:rPr>
        <w:t>AE</w:t>
      </w:r>
      <w:proofErr w:type="spellEnd"/>
      <w:r w:rsidRPr="00E603DB">
        <w:rPr>
          <w:b/>
          <w:lang w:val="es-ES" w:eastAsia="es-ES"/>
        </w:rPr>
        <w:t>)</w:t>
      </w:r>
      <w:r>
        <w:rPr>
          <w:lang w:val="es-ES" w:eastAsia="es-ES"/>
        </w:rPr>
        <w:t xml:space="preserve"> de la Defensoría de los Habitantes, </w:t>
      </w:r>
      <w:proofErr w:type="spellStart"/>
      <w:r>
        <w:rPr>
          <w:lang w:val="es-ES" w:eastAsia="es-ES"/>
        </w:rPr>
        <w:t>mocionándose</w:t>
      </w:r>
      <w:proofErr w:type="spellEnd"/>
      <w:r>
        <w:rPr>
          <w:lang w:val="es-ES" w:eastAsia="es-ES"/>
        </w:rPr>
        <w:t xml:space="preserve"> para acoger las recomendaciones contenidas en el oficio dicho, basados en los fundamentos, motivos y contenidos, desarrollados en los considerandos del mismo, el cual forma parte integral de esta acta.</w:t>
      </w:r>
    </w:p>
    <w:p w:rsidR="002E7B8C" w:rsidRPr="00E603DB" w:rsidRDefault="00476B9A">
      <w:pPr>
        <w:kinsoku w:val="0"/>
        <w:overflowPunct w:val="0"/>
        <w:autoSpaceDE/>
        <w:autoSpaceDN/>
        <w:adjustRightInd/>
        <w:spacing w:before="227" w:line="227" w:lineRule="exact"/>
        <w:ind w:left="864"/>
        <w:textAlignment w:val="baseline"/>
        <w:rPr>
          <w:b/>
          <w:spacing w:val="4"/>
          <w:lang w:val="es-ES" w:eastAsia="es-ES"/>
        </w:rPr>
      </w:pPr>
      <w:r w:rsidRPr="00E603DB">
        <w:rPr>
          <w:b/>
          <w:spacing w:val="4"/>
          <w:lang w:val="es-ES" w:eastAsia="es-ES"/>
        </w:rPr>
        <w:t>POR TANTO, SE ACUERDA:</w:t>
      </w:r>
    </w:p>
    <w:p w:rsidR="002E7B8C" w:rsidRDefault="00476B9A">
      <w:pPr>
        <w:numPr>
          <w:ilvl w:val="0"/>
          <w:numId w:val="1"/>
        </w:numPr>
        <w:kinsoku w:val="0"/>
        <w:overflowPunct w:val="0"/>
        <w:autoSpaceDE/>
        <w:autoSpaceDN/>
        <w:adjustRightInd/>
        <w:spacing w:before="241" w:line="226" w:lineRule="exact"/>
        <w:ind w:right="864"/>
        <w:jc w:val="both"/>
        <w:textAlignment w:val="baseline"/>
        <w:rPr>
          <w:lang w:val="es-ES" w:eastAsia="es-ES"/>
        </w:rPr>
      </w:pPr>
      <w:r>
        <w:rPr>
          <w:lang w:val="es-ES" w:eastAsia="es-ES"/>
        </w:rPr>
        <w:t>Aprobar, basados en los fundamentos, motivos y contenidos, desarrollados en los considerandos del oficio DAJ 2016-004045, todas las recomendaciones contenidas en el oficio dicho, el cual forma parte integral de este acuerdo.</w:t>
      </w:r>
    </w:p>
    <w:p w:rsidR="002E7B8C" w:rsidRDefault="00476B9A">
      <w:pPr>
        <w:numPr>
          <w:ilvl w:val="0"/>
          <w:numId w:val="1"/>
        </w:numPr>
        <w:kinsoku w:val="0"/>
        <w:overflowPunct w:val="0"/>
        <w:autoSpaceDE/>
        <w:autoSpaceDN/>
        <w:adjustRightInd/>
        <w:spacing w:before="10" w:line="228" w:lineRule="exact"/>
        <w:ind w:right="864"/>
        <w:jc w:val="both"/>
        <w:textAlignment w:val="baseline"/>
        <w:rPr>
          <w:lang w:val="es-ES" w:eastAsia="es-ES"/>
        </w:rPr>
      </w:pPr>
      <w:r>
        <w:rPr>
          <w:lang w:val="es-ES" w:eastAsia="es-ES"/>
        </w:rPr>
        <w:t>Aprobar los alineamientos antes señalados y contenidos en el oficio indicado, para el traslado custodia y entrega de equipaje de los usuarios de transporte público, modalidad autobús, los cuales de seguido se transcriben:</w:t>
      </w:r>
    </w:p>
    <w:p w:rsidR="002E7B8C" w:rsidRPr="00E603DB" w:rsidRDefault="00476B9A">
      <w:pPr>
        <w:kinsoku w:val="0"/>
        <w:overflowPunct w:val="0"/>
        <w:autoSpaceDE/>
        <w:autoSpaceDN/>
        <w:adjustRightInd/>
        <w:spacing w:before="254" w:after="513" w:line="220" w:lineRule="exact"/>
        <w:ind w:left="864" w:right="864"/>
        <w:jc w:val="both"/>
        <w:textAlignment w:val="baseline"/>
        <w:rPr>
          <w:b/>
          <w:lang w:val="es-ES" w:eastAsia="es-ES"/>
        </w:rPr>
      </w:pPr>
      <w:r w:rsidRPr="00E603DB">
        <w:rPr>
          <w:b/>
          <w:lang w:val="es-ES" w:eastAsia="es-ES"/>
        </w:rPr>
        <w:t>"Lineamientos para el traslado, custodia y entrega del equipaje de los usuarios de transporte público modalidad autobús."</w:t>
      </w:r>
    </w:p>
    <w:p w:rsidR="002E7B8C" w:rsidRDefault="002E7B8C">
      <w:pPr>
        <w:widowControl/>
        <w:rPr>
          <w:sz w:val="24"/>
          <w:szCs w:val="24"/>
        </w:rPr>
        <w:sectPr w:rsidR="002E7B8C">
          <w:pgSz w:w="12293" w:h="15739"/>
          <w:pgMar w:top="1480" w:right="1622" w:bottom="803" w:left="1771" w:header="720" w:footer="720" w:gutter="0"/>
          <w:cols w:space="720"/>
          <w:noEndnote/>
        </w:sectPr>
      </w:pPr>
    </w:p>
    <w:p w:rsidR="002E7B8C" w:rsidRDefault="002E7B8C">
      <w:pPr>
        <w:widowControl/>
        <w:rPr>
          <w:sz w:val="24"/>
          <w:szCs w:val="24"/>
        </w:rPr>
        <w:sectPr w:rsidR="002E7B8C">
          <w:type w:val="continuous"/>
          <w:pgSz w:w="12293" w:h="15739"/>
          <w:pgMar w:top="1480" w:right="1640" w:bottom="803" w:left="8213" w:header="720" w:footer="720" w:gutter="0"/>
          <w:cols w:space="720"/>
          <w:noEndnote/>
        </w:sectPr>
      </w:pPr>
    </w:p>
    <w:p w:rsidR="002E7B8C" w:rsidRDefault="00476B9A">
      <w:pPr>
        <w:numPr>
          <w:ilvl w:val="0"/>
          <w:numId w:val="2"/>
        </w:numPr>
        <w:kinsoku w:val="0"/>
        <w:overflowPunct w:val="0"/>
        <w:autoSpaceDE/>
        <w:autoSpaceDN/>
        <w:adjustRightInd/>
        <w:spacing w:before="11" w:line="228" w:lineRule="exact"/>
        <w:ind w:right="864"/>
        <w:jc w:val="both"/>
        <w:textAlignment w:val="baseline"/>
        <w:rPr>
          <w:lang w:val="es-ES" w:eastAsia="es-ES"/>
        </w:rPr>
      </w:pPr>
      <w:r>
        <w:rPr>
          <w:lang w:val="es-ES" w:eastAsia="es-ES"/>
        </w:rPr>
        <w:lastRenderedPageBreak/>
        <w:t>Se considera como equipaje los artículos de uso personal de un pasajero, tales como vestuario, calzado, artículos de tocador, entre otros, que son colocados en los maleteros de las unidades de autobús. Adicionalmente el usuario puedo hacer uso del servicio de transporte público, con un equipaje de mano que va con el pasajero en la cabina, bajo su custodia y responsabilidad. En caso de otro tipo de 'equipaje, tales como artículos deportivos, instrumentos musicales y otros, el concesionario o permisionario de la ruta de autobús, deberá valorar si es posible su traslado en el maletero. Todo equipaje podrá ser correctamente embalado por el usuario del servicio de transporte público mismo que deberá asumir el costo respectivo, y será su responsabilidad en caso de que se presenten desperfectos durante el trayecto.</w:t>
      </w:r>
    </w:p>
    <w:p w:rsidR="002E7B8C" w:rsidRDefault="00476B9A">
      <w:pPr>
        <w:numPr>
          <w:ilvl w:val="0"/>
          <w:numId w:val="2"/>
        </w:numPr>
        <w:kinsoku w:val="0"/>
        <w:overflowPunct w:val="0"/>
        <w:autoSpaceDE/>
        <w:autoSpaceDN/>
        <w:adjustRightInd/>
        <w:spacing w:before="9" w:line="228" w:lineRule="exact"/>
        <w:ind w:right="864"/>
        <w:jc w:val="both"/>
        <w:textAlignment w:val="baseline"/>
        <w:rPr>
          <w:lang w:val="es-ES" w:eastAsia="es-ES"/>
        </w:rPr>
      </w:pPr>
      <w:r>
        <w:rPr>
          <w:lang w:val="es-ES" w:eastAsia="es-ES"/>
        </w:rPr>
        <w:t>Los concesionarios y permisionarios de ruta regular que prestan servicios interurbanos largos, interurbanos corto y medio, para recorrido plano TI y no plano TIP y servicios rurales para recorrido plano y plano TR, deberán entregar a los usuarios del servicio que deseen utilizar el maletero de las unidades de servicio público, un comprobante que permita identificar el equipaje, para ser retirado al final del servicio.</w:t>
      </w:r>
    </w:p>
    <w:p w:rsidR="002E7B8C" w:rsidRDefault="00476B9A">
      <w:pPr>
        <w:numPr>
          <w:ilvl w:val="0"/>
          <w:numId w:val="2"/>
        </w:numPr>
        <w:kinsoku w:val="0"/>
        <w:overflowPunct w:val="0"/>
        <w:autoSpaceDE/>
        <w:autoSpaceDN/>
        <w:adjustRightInd/>
        <w:spacing w:line="228" w:lineRule="exact"/>
        <w:ind w:right="864"/>
        <w:jc w:val="both"/>
        <w:textAlignment w:val="baseline"/>
        <w:rPr>
          <w:lang w:val="es-ES" w:eastAsia="es-ES"/>
        </w:rPr>
      </w:pPr>
      <w:r>
        <w:rPr>
          <w:lang w:val="es-ES" w:eastAsia="es-ES"/>
        </w:rPr>
        <w:t>Únicamente el chofer de la unidad de buses o personal de la empresa concesionaria o permisionaria debidamente identificado, podrá hacer ingreso y retiro del equipaje de los usuarios en el maletero de la unidad de autobús.</w:t>
      </w:r>
    </w:p>
    <w:p w:rsidR="002E7B8C" w:rsidRDefault="00476B9A">
      <w:pPr>
        <w:numPr>
          <w:ilvl w:val="0"/>
          <w:numId w:val="2"/>
        </w:numPr>
        <w:kinsoku w:val="0"/>
        <w:overflowPunct w:val="0"/>
        <w:autoSpaceDE/>
        <w:autoSpaceDN/>
        <w:adjustRightInd/>
        <w:spacing w:before="6" w:line="228" w:lineRule="exact"/>
        <w:ind w:right="864"/>
        <w:jc w:val="both"/>
        <w:textAlignment w:val="baseline"/>
        <w:rPr>
          <w:lang w:val="es-ES" w:eastAsia="es-ES"/>
        </w:rPr>
      </w:pPr>
      <w:r>
        <w:rPr>
          <w:lang w:val="es-ES" w:eastAsia="es-ES"/>
        </w:rPr>
        <w:t>Los usuarios para hacer el retiro del equipaje deberán presentar el comprobante del equipaje al chofer del autobús, o al personal de la empresa concesionaria o permisionaria debidamente identificada.</w:t>
      </w:r>
    </w:p>
    <w:p w:rsidR="002E7B8C" w:rsidRDefault="00476B9A">
      <w:pPr>
        <w:numPr>
          <w:ilvl w:val="0"/>
          <w:numId w:val="2"/>
        </w:numPr>
        <w:kinsoku w:val="0"/>
        <w:overflowPunct w:val="0"/>
        <w:autoSpaceDE/>
        <w:autoSpaceDN/>
        <w:adjustRightInd/>
        <w:spacing w:before="12" w:line="228" w:lineRule="exact"/>
        <w:ind w:right="864"/>
        <w:jc w:val="both"/>
        <w:textAlignment w:val="baseline"/>
        <w:rPr>
          <w:lang w:val="es-ES" w:eastAsia="es-ES"/>
        </w:rPr>
      </w:pPr>
      <w:r>
        <w:rPr>
          <w:lang w:val="es-ES" w:eastAsia="es-ES"/>
        </w:rPr>
        <w:t>Los usuarios de servicios interurbanos largos, interurbanos corto y medio, para recorrido plano TI y no plano TIP y servicios rurales para recorrido plano y plano TR, pueden colocar gratuitamente en los maleteros de las unidades, equipaje con dimensiones máximas de 20X40X55 centímetros. Únicamente se permitirá un equipaje por pasajero, cuyo peso no exceda los 10 kilogramos. En caso de que el equipaje exceda las dimensiones o el peso indicado, la empresa concesionaria o permisionaria podrá realizar un cobro adicional, de acuerdo al peso y las dimensiones del equipaje adicional, que no podrá exceder del pago de dos tarifas de pasaje.</w:t>
      </w:r>
    </w:p>
    <w:p w:rsidR="002E7B8C" w:rsidRDefault="00476B9A">
      <w:pPr>
        <w:numPr>
          <w:ilvl w:val="0"/>
          <w:numId w:val="2"/>
        </w:numPr>
        <w:kinsoku w:val="0"/>
        <w:overflowPunct w:val="0"/>
        <w:autoSpaceDE/>
        <w:autoSpaceDN/>
        <w:adjustRightInd/>
        <w:spacing w:before="10" w:line="228" w:lineRule="exact"/>
        <w:ind w:right="864"/>
        <w:jc w:val="both"/>
        <w:textAlignment w:val="baseline"/>
        <w:rPr>
          <w:spacing w:val="1"/>
          <w:lang w:val="es-ES" w:eastAsia="es-ES"/>
        </w:rPr>
      </w:pPr>
      <w:r>
        <w:rPr>
          <w:spacing w:val="1"/>
          <w:lang w:val="es-ES" w:eastAsia="es-ES"/>
        </w:rPr>
        <w:t>En caso de pérdida, robo o extravío del equipaje, el permisionario o concesionario de la ruta de autobús, deberá hacerse responsable frente al usuario, por lo que en caso de portar mercancía de un valor económico superior al salario mínimo, el usuario deberá informarlo al chofer o personal encargado de recibir el equipaje, a efectos de que se proceda con la verificación correspondiente en presencia del usuario, quién deberá declarar el valor del mismo, en una boleta adicional que deberá entregar el chofer o encargado.</w:t>
      </w:r>
    </w:p>
    <w:p w:rsidR="002E7B8C" w:rsidRDefault="00476B9A">
      <w:pPr>
        <w:numPr>
          <w:ilvl w:val="0"/>
          <w:numId w:val="2"/>
        </w:numPr>
        <w:kinsoku w:val="0"/>
        <w:overflowPunct w:val="0"/>
        <w:autoSpaceDE/>
        <w:autoSpaceDN/>
        <w:adjustRightInd/>
        <w:spacing w:line="226" w:lineRule="exact"/>
        <w:ind w:right="864"/>
        <w:jc w:val="both"/>
        <w:textAlignment w:val="baseline"/>
        <w:rPr>
          <w:spacing w:val="-2"/>
          <w:lang w:val="es-ES" w:eastAsia="es-ES"/>
        </w:rPr>
      </w:pPr>
      <w:r>
        <w:rPr>
          <w:spacing w:val="-2"/>
          <w:lang w:val="es-ES" w:eastAsia="es-ES"/>
        </w:rPr>
        <w:t>El reclamo de la pérdida, robo o extravío del equipaje deberá presentarlo el usuario ante la empresa concesionaria o permisionaria de la ruta regular de autobús, en el lapso de 24 horas. En la empresa se procederá a realizar una investigación, previa comprobación del ingreso del denunciante a la unidad con equipaje depositado en el maletero, en un plazo máximo de 10 días hábiles. En caso de comprobarse que ha existido responsabilidad por parte de la empresa, deberá procederse con la indemnización correspondiente." (...)" (Léanse los folios del 40 al 41 del TAT-223-16)</w:t>
      </w:r>
    </w:p>
    <w:p w:rsidR="002E7B8C" w:rsidRDefault="00476B9A">
      <w:pPr>
        <w:kinsoku w:val="0"/>
        <w:overflowPunct w:val="0"/>
        <w:autoSpaceDE/>
        <w:autoSpaceDN/>
        <w:adjustRightInd/>
        <w:spacing w:before="179" w:line="352" w:lineRule="exact"/>
        <w:jc w:val="both"/>
        <w:textAlignment w:val="baseline"/>
        <w:rPr>
          <w:sz w:val="26"/>
          <w:szCs w:val="26"/>
          <w:lang w:val="es-ES" w:eastAsia="es-ES"/>
        </w:rPr>
      </w:pPr>
      <w:r>
        <w:rPr>
          <w:sz w:val="26"/>
          <w:szCs w:val="26"/>
          <w:lang w:val="es-ES" w:eastAsia="es-ES"/>
        </w:rPr>
        <w:t xml:space="preserve">El acuerdo fue notificado el </w:t>
      </w:r>
      <w:r>
        <w:rPr>
          <w:b/>
          <w:bCs/>
          <w:sz w:val="26"/>
          <w:szCs w:val="26"/>
          <w:lang w:val="es-ES" w:eastAsia="es-ES"/>
        </w:rPr>
        <w:t xml:space="preserve">8 de diciembre del 2016. </w:t>
      </w:r>
      <w:r>
        <w:rPr>
          <w:sz w:val="26"/>
          <w:szCs w:val="26"/>
          <w:lang w:val="es-ES" w:eastAsia="es-ES"/>
        </w:rPr>
        <w:t>(Léase el folio 43 del expediente TAT-223-16)</w:t>
      </w:r>
    </w:p>
    <w:p w:rsidR="002E7B8C" w:rsidRDefault="00476B9A">
      <w:pPr>
        <w:kinsoku w:val="0"/>
        <w:overflowPunct w:val="0"/>
        <w:autoSpaceDE/>
        <w:autoSpaceDN/>
        <w:adjustRightInd/>
        <w:spacing w:before="448" w:line="322" w:lineRule="exact"/>
        <w:jc w:val="both"/>
        <w:textAlignment w:val="baseline"/>
        <w:rPr>
          <w:spacing w:val="-1"/>
          <w:lang w:val="es-ES" w:eastAsia="es-ES"/>
        </w:rPr>
      </w:pPr>
      <w:r>
        <w:rPr>
          <w:b/>
          <w:bCs/>
          <w:spacing w:val="-1"/>
          <w:sz w:val="26"/>
          <w:szCs w:val="26"/>
          <w:lang w:val="es-ES" w:eastAsia="es-ES"/>
        </w:rPr>
        <w:t xml:space="preserve">SEGUNDO. — </w:t>
      </w:r>
      <w:r>
        <w:rPr>
          <w:spacing w:val="-1"/>
          <w:lang w:val="es-ES" w:eastAsia="es-ES"/>
        </w:rPr>
        <w:t xml:space="preserve">El </w:t>
      </w:r>
      <w:r>
        <w:rPr>
          <w:b/>
          <w:bCs/>
          <w:spacing w:val="-1"/>
          <w:sz w:val="26"/>
          <w:szCs w:val="26"/>
          <w:lang w:val="es-ES" w:eastAsia="es-ES"/>
        </w:rPr>
        <w:t xml:space="preserve">22 de diciembre del 2016, </w:t>
      </w:r>
      <w:r>
        <w:rPr>
          <w:spacing w:val="-1"/>
          <w:lang w:val="es-ES" w:eastAsia="es-ES"/>
        </w:rPr>
        <w:t xml:space="preserve">la empresa </w:t>
      </w:r>
      <w:r w:rsidRPr="00E603DB">
        <w:rPr>
          <w:b/>
          <w:spacing w:val="-1"/>
          <w:lang w:val="es-ES" w:eastAsia="es-ES"/>
        </w:rPr>
        <w:t>T</w:t>
      </w:r>
      <w:r w:rsidR="00E603DB">
        <w:rPr>
          <w:b/>
          <w:spacing w:val="-1"/>
          <w:lang w:val="es-ES" w:eastAsia="es-ES"/>
        </w:rPr>
        <w:t>.C.P.L.</w:t>
      </w:r>
      <w:r>
        <w:rPr>
          <w:spacing w:val="-1"/>
          <w:lang w:val="es-ES" w:eastAsia="es-ES"/>
        </w:rPr>
        <w:t xml:space="preserve">, interpone ante el Tribunal Administrativo de Transporte, formal </w:t>
      </w:r>
      <w:r w:rsidRPr="00E603DB">
        <w:rPr>
          <w:b/>
          <w:spacing w:val="-1"/>
          <w:lang w:val="es-ES" w:eastAsia="es-ES"/>
        </w:rPr>
        <w:t>RECURSO DE EXTRAORDINARIO DE APELACIÓN EN SUBSIDIO Y NULIDAD CONCOMITANTE,</w:t>
      </w:r>
    </w:p>
    <w:p w:rsidR="002E7B8C" w:rsidRDefault="002E7B8C">
      <w:pPr>
        <w:widowControl/>
        <w:rPr>
          <w:sz w:val="24"/>
          <w:szCs w:val="24"/>
        </w:rPr>
        <w:sectPr w:rsidR="002E7B8C">
          <w:pgSz w:w="12293" w:h="15739"/>
          <w:pgMar w:top="1320" w:right="1663" w:bottom="1023" w:left="1730" w:header="720" w:footer="720" w:gutter="0"/>
          <w:cols w:space="720"/>
          <w:noEndnote/>
        </w:sectPr>
      </w:pPr>
    </w:p>
    <w:p w:rsidR="002E7B8C" w:rsidRDefault="00476B9A">
      <w:pPr>
        <w:kinsoku w:val="0"/>
        <w:overflowPunct w:val="0"/>
        <w:autoSpaceDE/>
        <w:autoSpaceDN/>
        <w:adjustRightInd/>
        <w:spacing w:line="281" w:lineRule="exact"/>
        <w:ind w:left="72" w:right="72"/>
        <w:jc w:val="both"/>
        <w:textAlignment w:val="baseline"/>
        <w:rPr>
          <w:spacing w:val="11"/>
          <w:sz w:val="21"/>
          <w:szCs w:val="21"/>
          <w:lang w:val="es-ES" w:eastAsia="es-ES"/>
        </w:rPr>
      </w:pPr>
      <w:r>
        <w:rPr>
          <w:spacing w:val="11"/>
          <w:sz w:val="21"/>
          <w:szCs w:val="21"/>
          <w:lang w:val="es-ES" w:eastAsia="es-ES"/>
        </w:rPr>
        <w:lastRenderedPageBreak/>
        <w:t xml:space="preserve">en contra del </w:t>
      </w:r>
      <w:r>
        <w:rPr>
          <w:b/>
          <w:bCs/>
          <w:spacing w:val="11"/>
          <w:sz w:val="21"/>
          <w:szCs w:val="21"/>
          <w:lang w:val="es-ES" w:eastAsia="es-ES"/>
        </w:rPr>
        <w:t xml:space="preserve">Artículo 7.12 de la Sesión Ordinaria 61-2016, celebrada el 1° de diciembre del 2016 </w:t>
      </w:r>
      <w:r>
        <w:rPr>
          <w:spacing w:val="11"/>
          <w:sz w:val="21"/>
          <w:szCs w:val="21"/>
          <w:lang w:val="es-ES" w:eastAsia="es-ES"/>
        </w:rPr>
        <w:t>por la Junta Directiva del Consejo de Transporte Público, y en resumen indica:</w:t>
      </w:r>
    </w:p>
    <w:p w:rsidR="002E7B8C" w:rsidRDefault="00476B9A">
      <w:pPr>
        <w:numPr>
          <w:ilvl w:val="0"/>
          <w:numId w:val="3"/>
        </w:numPr>
        <w:kinsoku w:val="0"/>
        <w:overflowPunct w:val="0"/>
        <w:autoSpaceDE/>
        <w:autoSpaceDN/>
        <w:adjustRightInd/>
        <w:spacing w:before="268" w:line="253" w:lineRule="exact"/>
        <w:ind w:right="72"/>
        <w:jc w:val="both"/>
        <w:textAlignment w:val="baseline"/>
        <w:rPr>
          <w:sz w:val="21"/>
          <w:szCs w:val="21"/>
          <w:lang w:val="es-ES" w:eastAsia="es-ES"/>
        </w:rPr>
      </w:pPr>
      <w:r>
        <w:rPr>
          <w:sz w:val="21"/>
          <w:szCs w:val="21"/>
          <w:lang w:val="es-ES" w:eastAsia="es-ES"/>
        </w:rPr>
        <w:t>Que Funda su recurso ordinario de revocatoria parcial y de la nulidad absoluta concomitante en que el acuerdo es totalmente ilegal y constituye una desviación de poder. Cometida por la Junta Dire</w:t>
      </w:r>
      <w:bookmarkStart w:id="0" w:name="_GoBack"/>
      <w:bookmarkEnd w:id="0"/>
      <w:r>
        <w:rPr>
          <w:sz w:val="21"/>
          <w:szCs w:val="21"/>
          <w:lang w:val="es-ES" w:eastAsia="es-ES"/>
        </w:rPr>
        <w:t>ctiva del Consejo de Transporte Público, en perjuicio de los concesionarios y permisionarios de transporte público remunerado de personas.</w:t>
      </w:r>
    </w:p>
    <w:p w:rsidR="002E7B8C" w:rsidRDefault="00476B9A">
      <w:pPr>
        <w:numPr>
          <w:ilvl w:val="0"/>
          <w:numId w:val="3"/>
        </w:numPr>
        <w:kinsoku w:val="0"/>
        <w:overflowPunct w:val="0"/>
        <w:autoSpaceDE/>
        <w:autoSpaceDN/>
        <w:adjustRightInd/>
        <w:spacing w:before="251" w:line="252" w:lineRule="exact"/>
        <w:ind w:right="72"/>
        <w:jc w:val="both"/>
        <w:textAlignment w:val="baseline"/>
        <w:rPr>
          <w:spacing w:val="2"/>
          <w:sz w:val="21"/>
          <w:szCs w:val="21"/>
          <w:lang w:val="es-ES" w:eastAsia="es-ES"/>
        </w:rPr>
      </w:pPr>
      <w:r>
        <w:rPr>
          <w:spacing w:val="2"/>
          <w:sz w:val="21"/>
          <w:szCs w:val="21"/>
          <w:lang w:val="es-ES" w:eastAsia="es-ES"/>
        </w:rPr>
        <w:t>Que el principio de legalidad establece los límites y alcances del actuar de la administración frente a los ciudadanos, y que este está siendo violentado, así como el principio de seguridad jurídica, el principio de la confianza legítima que dimana de éste y que es una manifestación del principio de buena fe.</w:t>
      </w:r>
    </w:p>
    <w:p w:rsidR="002E7B8C" w:rsidRDefault="00476B9A">
      <w:pPr>
        <w:numPr>
          <w:ilvl w:val="0"/>
          <w:numId w:val="3"/>
        </w:numPr>
        <w:kinsoku w:val="0"/>
        <w:overflowPunct w:val="0"/>
        <w:autoSpaceDE/>
        <w:autoSpaceDN/>
        <w:adjustRightInd/>
        <w:spacing w:before="256" w:line="252" w:lineRule="exact"/>
        <w:ind w:right="72"/>
        <w:jc w:val="both"/>
        <w:textAlignment w:val="baseline"/>
        <w:rPr>
          <w:spacing w:val="3"/>
          <w:sz w:val="21"/>
          <w:szCs w:val="21"/>
          <w:lang w:val="es-ES" w:eastAsia="es-ES"/>
        </w:rPr>
      </w:pPr>
      <w:r>
        <w:rPr>
          <w:spacing w:val="3"/>
          <w:sz w:val="21"/>
          <w:szCs w:val="21"/>
          <w:lang w:val="es-ES" w:eastAsia="es-ES"/>
        </w:rPr>
        <w:t>Que ya la Dirección Jurídica del Consejo de Transporte Público, había rendido criterio al CTP, en relación con la incompetencia legal de ese Consejo, para regular lo relativo a los equipajes y su transporte en las unidades de transporte público, en el oficio DAJ-2015-002596 del 31 de julio del 2015.</w:t>
      </w:r>
    </w:p>
    <w:p w:rsidR="002E7B8C" w:rsidRDefault="00476B9A">
      <w:pPr>
        <w:numPr>
          <w:ilvl w:val="0"/>
          <w:numId w:val="3"/>
        </w:numPr>
        <w:kinsoku w:val="0"/>
        <w:overflowPunct w:val="0"/>
        <w:autoSpaceDE/>
        <w:autoSpaceDN/>
        <w:adjustRightInd/>
        <w:spacing w:before="250" w:line="253" w:lineRule="exact"/>
        <w:ind w:right="72"/>
        <w:jc w:val="both"/>
        <w:textAlignment w:val="baseline"/>
        <w:rPr>
          <w:spacing w:val="3"/>
          <w:sz w:val="21"/>
          <w:szCs w:val="21"/>
          <w:lang w:val="es-ES" w:eastAsia="es-ES"/>
        </w:rPr>
      </w:pPr>
      <w:r>
        <w:rPr>
          <w:spacing w:val="3"/>
          <w:sz w:val="21"/>
          <w:szCs w:val="21"/>
          <w:lang w:val="es-ES" w:eastAsia="es-ES"/>
        </w:rPr>
        <w:t>Que el punto 6 de la parte dispositiva del acuerdo impugnado crea una carga en perjuicio del operador del servicio, le impone obligaciones que no se encuentran amparadas en la normativa que rige la materia, lo que es una medida desproporcionada y rigurosa que violenta los principios de razonabilidad y justicia.</w:t>
      </w:r>
    </w:p>
    <w:p w:rsidR="002E7B8C" w:rsidRDefault="00476B9A">
      <w:pPr>
        <w:numPr>
          <w:ilvl w:val="0"/>
          <w:numId w:val="3"/>
        </w:numPr>
        <w:kinsoku w:val="0"/>
        <w:overflowPunct w:val="0"/>
        <w:autoSpaceDE/>
        <w:autoSpaceDN/>
        <w:adjustRightInd/>
        <w:spacing w:before="253" w:line="252" w:lineRule="exact"/>
        <w:ind w:right="72"/>
        <w:jc w:val="both"/>
        <w:textAlignment w:val="baseline"/>
        <w:rPr>
          <w:sz w:val="21"/>
          <w:szCs w:val="21"/>
          <w:lang w:val="es-ES" w:eastAsia="es-ES"/>
        </w:rPr>
      </w:pPr>
      <w:r>
        <w:rPr>
          <w:sz w:val="21"/>
          <w:szCs w:val="21"/>
          <w:lang w:val="es-ES" w:eastAsia="es-ES"/>
        </w:rPr>
        <w:t>Que el informe DAJ-2016-004045 que sirvió de fundamento para que el CTP emitiera el acuerdo impugnado, no justifica la razonabilidad de la medida que se impone en contra del operador del servicio, ni menciona de donde deriva el utilizar el parámetro del salario mínimo, ni las razones jurídicas que inducen a la Dirección de Asuntos Jurídicos</w:t>
      </w:r>
    </w:p>
    <w:p w:rsidR="002E7B8C" w:rsidRDefault="00476B9A" w:rsidP="00E603DB">
      <w:pPr>
        <w:numPr>
          <w:ilvl w:val="0"/>
          <w:numId w:val="4"/>
        </w:numPr>
        <w:kinsoku w:val="0"/>
        <w:overflowPunct w:val="0"/>
        <w:autoSpaceDE/>
        <w:autoSpaceDN/>
        <w:adjustRightInd/>
        <w:spacing w:before="253" w:line="250" w:lineRule="exact"/>
        <w:ind w:right="72"/>
        <w:jc w:val="both"/>
        <w:textAlignment w:val="baseline"/>
        <w:rPr>
          <w:sz w:val="21"/>
          <w:szCs w:val="21"/>
          <w:lang w:val="es-ES" w:eastAsia="es-ES"/>
        </w:rPr>
      </w:pPr>
      <w:r>
        <w:rPr>
          <w:sz w:val="21"/>
          <w:szCs w:val="21"/>
          <w:lang w:val="es-ES" w:eastAsia="es-ES"/>
        </w:rPr>
        <w:t>Alega que existe otro vicio de nulidad y es la ausencia de consulta previa de los lineamientos, audiencia que está estipulada en el artículo 361.2 de la Ley General de la Administración Pública.</w:t>
      </w:r>
    </w:p>
    <w:p w:rsidR="002E7B8C" w:rsidRDefault="00476B9A">
      <w:pPr>
        <w:numPr>
          <w:ilvl w:val="0"/>
          <w:numId w:val="4"/>
        </w:numPr>
        <w:kinsoku w:val="0"/>
        <w:overflowPunct w:val="0"/>
        <w:autoSpaceDE/>
        <w:autoSpaceDN/>
        <w:adjustRightInd/>
        <w:spacing w:before="257" w:line="249" w:lineRule="exact"/>
        <w:ind w:right="72"/>
        <w:jc w:val="both"/>
        <w:textAlignment w:val="baseline"/>
        <w:rPr>
          <w:spacing w:val="3"/>
          <w:sz w:val="21"/>
          <w:szCs w:val="21"/>
          <w:lang w:val="es-ES" w:eastAsia="es-ES"/>
        </w:rPr>
      </w:pPr>
      <w:r>
        <w:rPr>
          <w:spacing w:val="3"/>
          <w:sz w:val="21"/>
          <w:szCs w:val="21"/>
          <w:lang w:val="es-ES" w:eastAsia="es-ES"/>
        </w:rPr>
        <w:t>Especifica que la nulidad que se esgrime se presenta en el motivo, relacionado con la fundamentación del acuerdo, pues el tema de traslado, custodia y entrega de equipaje, el CTP es incompetente para hacerlo. Además, indica que hay nulidad absoluta en cuanto a la causa y el contenido, de conformidad con lo establecido por los artículos 128, 132, 133 y 136 de la Ley General de la Administración Pública.</w:t>
      </w:r>
    </w:p>
    <w:p w:rsidR="002E7B8C" w:rsidRDefault="00476B9A">
      <w:pPr>
        <w:numPr>
          <w:ilvl w:val="0"/>
          <w:numId w:val="4"/>
        </w:numPr>
        <w:kinsoku w:val="0"/>
        <w:overflowPunct w:val="0"/>
        <w:autoSpaceDE/>
        <w:autoSpaceDN/>
        <w:adjustRightInd/>
        <w:spacing w:before="257" w:line="247" w:lineRule="exact"/>
        <w:ind w:right="72"/>
        <w:jc w:val="both"/>
        <w:textAlignment w:val="baseline"/>
        <w:rPr>
          <w:sz w:val="21"/>
          <w:szCs w:val="21"/>
          <w:lang w:val="es-ES" w:eastAsia="es-ES"/>
        </w:rPr>
      </w:pPr>
      <w:r>
        <w:rPr>
          <w:sz w:val="21"/>
          <w:szCs w:val="21"/>
          <w:lang w:val="es-ES" w:eastAsia="es-ES"/>
        </w:rPr>
        <w:t>Peticiona que acoja en todos sus extremos el recurso, y anule el acto administrativo sub examine y como consecuencia los denominados lineamientos para el traslado, custodia y entrega del equipaje de los usuarios de transporte público modalidad autobús. (léanse los folios del 1 al 21 del expediente TAT-223 -16)</w:t>
      </w:r>
    </w:p>
    <w:p w:rsidR="002E7B8C" w:rsidRDefault="00476B9A">
      <w:pPr>
        <w:kinsoku w:val="0"/>
        <w:overflowPunct w:val="0"/>
        <w:autoSpaceDE/>
        <w:autoSpaceDN/>
        <w:adjustRightInd/>
        <w:spacing w:before="249" w:after="1066" w:line="343" w:lineRule="exact"/>
        <w:ind w:left="72" w:right="72"/>
        <w:jc w:val="both"/>
        <w:textAlignment w:val="baseline"/>
        <w:rPr>
          <w:sz w:val="27"/>
          <w:szCs w:val="27"/>
          <w:lang w:val="es-ES" w:eastAsia="es-ES"/>
        </w:rPr>
      </w:pPr>
      <w:r w:rsidRPr="00E603DB">
        <w:rPr>
          <w:b/>
          <w:sz w:val="27"/>
          <w:szCs w:val="27"/>
          <w:lang w:val="es-ES" w:eastAsia="es-ES"/>
        </w:rPr>
        <w:t>TERCERO.</w:t>
      </w:r>
      <w:r>
        <w:rPr>
          <w:sz w:val="27"/>
          <w:szCs w:val="27"/>
          <w:lang w:val="es-ES" w:eastAsia="es-ES"/>
        </w:rPr>
        <w:t xml:space="preserve"> — El Consejo de Transporte Público, en respuesta a la Audiencia conferida por este Tribunal, en el oficio sin número de fecha 17 de enero del 2017, señala en resumen lo siguiente:</w:t>
      </w:r>
    </w:p>
    <w:p w:rsidR="002E7B8C" w:rsidRDefault="002E7B8C">
      <w:pPr>
        <w:widowControl/>
        <w:rPr>
          <w:sz w:val="24"/>
          <w:szCs w:val="24"/>
        </w:rPr>
        <w:sectPr w:rsidR="002E7B8C">
          <w:pgSz w:w="12293" w:h="15706"/>
          <w:pgMar w:top="1480" w:right="1531" w:bottom="830" w:left="1795" w:header="720" w:footer="720" w:gutter="0"/>
          <w:cols w:space="720"/>
          <w:noEndnote/>
        </w:sectPr>
      </w:pPr>
    </w:p>
    <w:p w:rsidR="002E7B8C" w:rsidRDefault="002E7B8C">
      <w:pPr>
        <w:widowControl/>
        <w:rPr>
          <w:sz w:val="24"/>
          <w:szCs w:val="24"/>
        </w:rPr>
        <w:sectPr w:rsidR="002E7B8C">
          <w:type w:val="continuous"/>
          <w:pgSz w:w="12293" w:h="15706"/>
          <w:pgMar w:top="1480" w:right="1531" w:bottom="830" w:left="8242" w:header="720" w:footer="720" w:gutter="0"/>
          <w:cols w:space="720"/>
          <w:noEndnote/>
        </w:sectPr>
      </w:pPr>
    </w:p>
    <w:p w:rsidR="002E7B8C" w:rsidRDefault="00476B9A">
      <w:pPr>
        <w:numPr>
          <w:ilvl w:val="0"/>
          <w:numId w:val="5"/>
        </w:numPr>
        <w:kinsoku w:val="0"/>
        <w:overflowPunct w:val="0"/>
        <w:autoSpaceDE/>
        <w:autoSpaceDN/>
        <w:adjustRightInd/>
        <w:spacing w:line="287" w:lineRule="exact"/>
        <w:ind w:right="72"/>
        <w:jc w:val="both"/>
        <w:textAlignment w:val="baseline"/>
        <w:rPr>
          <w:spacing w:val="-4"/>
          <w:sz w:val="23"/>
          <w:szCs w:val="23"/>
          <w:lang w:val="es-ES" w:eastAsia="es-ES"/>
        </w:rPr>
      </w:pPr>
      <w:r>
        <w:rPr>
          <w:spacing w:val="-4"/>
          <w:sz w:val="23"/>
          <w:szCs w:val="23"/>
          <w:lang w:val="es-ES" w:eastAsia="es-ES"/>
        </w:rPr>
        <w:lastRenderedPageBreak/>
        <w:t>Que en oficio 03464-2016-DHR-(AE), del 16 de abril del 2016, la Defensoría de los Habitantes señala la necesidad de que el Consejo de Transporte Público, como órgano rector en la materia de transporte público, regule el traslado, la custodia y la entrega de equipajes, pese a que la Dirección Jurídica del Consejo ya había emitido un criterio legal señalando que no existe competencia legal para regular lo relativo a equipajes y su transporte en las unidades de transporte público, lo cual fue compartido por la Defensoría al analizar ese criterio.</w:t>
      </w:r>
    </w:p>
    <w:p w:rsidR="002E7B8C" w:rsidRDefault="00476B9A">
      <w:pPr>
        <w:numPr>
          <w:ilvl w:val="0"/>
          <w:numId w:val="5"/>
        </w:numPr>
        <w:kinsoku w:val="0"/>
        <w:overflowPunct w:val="0"/>
        <w:autoSpaceDE/>
        <w:autoSpaceDN/>
        <w:adjustRightInd/>
        <w:spacing w:before="4" w:line="288" w:lineRule="exact"/>
        <w:ind w:right="72"/>
        <w:jc w:val="both"/>
        <w:textAlignment w:val="baseline"/>
        <w:rPr>
          <w:sz w:val="23"/>
          <w:szCs w:val="23"/>
          <w:lang w:val="es-ES" w:eastAsia="es-ES"/>
        </w:rPr>
      </w:pPr>
      <w:r>
        <w:rPr>
          <w:sz w:val="23"/>
          <w:szCs w:val="23"/>
          <w:lang w:val="es-ES" w:eastAsia="es-ES"/>
        </w:rPr>
        <w:t>No obstante, solicita la Defensoría a este Consejo que regule lo relativo al traslado, custodia y entrega del equipaje de los usuarios de transporte público, por lo que solicitó a la Dirección Técnica un informe mediante el cual se indicara cuáles unidades de transporte público, están capacitadas para el transporte de equipaje de los usuarios.</w:t>
      </w:r>
    </w:p>
    <w:p w:rsidR="002E7B8C" w:rsidRDefault="00476B9A">
      <w:pPr>
        <w:numPr>
          <w:ilvl w:val="0"/>
          <w:numId w:val="5"/>
        </w:numPr>
        <w:kinsoku w:val="0"/>
        <w:overflowPunct w:val="0"/>
        <w:autoSpaceDE/>
        <w:autoSpaceDN/>
        <w:adjustRightInd/>
        <w:spacing w:before="304" w:line="288" w:lineRule="exact"/>
        <w:ind w:right="72"/>
        <w:jc w:val="both"/>
        <w:textAlignment w:val="baseline"/>
        <w:rPr>
          <w:spacing w:val="-4"/>
          <w:sz w:val="23"/>
          <w:szCs w:val="23"/>
          <w:lang w:val="es-ES" w:eastAsia="es-ES"/>
        </w:rPr>
      </w:pPr>
      <w:r>
        <w:rPr>
          <w:spacing w:val="-4"/>
          <w:sz w:val="23"/>
          <w:szCs w:val="23"/>
          <w:lang w:val="es-ES" w:eastAsia="es-ES"/>
        </w:rPr>
        <w:t>Las recomendaciones de la Defensoría fueron acatadas por este Consejo, y debe notarse que en todo caso los lineamientos emitidos no imponen cargas excesivas a los concesionarios, únicamente buscan garantizar, que los usuarios no queden desprotegidos ante pérdidas injustificadas de sus pertenencias. El concesionario o permisionario que haga una debida custodia del equipaje de sus clientes, no tendrá ningún inconveniente en cumplir con dichos lineamientos, y también le impone obligaciones a los usuarios, quienes deberán ser parte responsables en el traslado del equipaje. (Léanse los folios 64 y 65 del expediente TAT-223-16)</w:t>
      </w:r>
    </w:p>
    <w:p w:rsidR="002E7B8C" w:rsidRPr="00E603DB" w:rsidRDefault="00476B9A">
      <w:pPr>
        <w:kinsoku w:val="0"/>
        <w:overflowPunct w:val="0"/>
        <w:autoSpaceDE/>
        <w:autoSpaceDN/>
        <w:adjustRightInd/>
        <w:spacing w:line="585" w:lineRule="exact"/>
        <w:ind w:left="72" w:right="288"/>
        <w:textAlignment w:val="baseline"/>
        <w:rPr>
          <w:b/>
          <w:sz w:val="23"/>
          <w:szCs w:val="23"/>
          <w:lang w:val="es-ES" w:eastAsia="es-ES"/>
        </w:rPr>
      </w:pPr>
      <w:r w:rsidRPr="00E603DB">
        <w:rPr>
          <w:b/>
          <w:sz w:val="23"/>
          <w:szCs w:val="23"/>
          <w:lang w:val="es-ES" w:eastAsia="es-ES"/>
        </w:rPr>
        <w:t>CUARTO. -</w:t>
      </w:r>
      <w:r>
        <w:rPr>
          <w:sz w:val="23"/>
          <w:szCs w:val="23"/>
          <w:lang w:val="es-ES" w:eastAsia="es-ES"/>
        </w:rPr>
        <w:t xml:space="preserve"> En los procedimientos seguidos se han observado las prescripciones legales. </w:t>
      </w:r>
      <w:r w:rsidRPr="00E603DB">
        <w:rPr>
          <w:b/>
          <w:sz w:val="23"/>
          <w:szCs w:val="23"/>
          <w:lang w:val="es-ES" w:eastAsia="es-ES"/>
        </w:rPr>
        <w:t>REDACTA EL JUEZ PORTUGUEZ MÉNDEZ.</w:t>
      </w:r>
    </w:p>
    <w:p w:rsidR="002E7B8C" w:rsidRPr="00E603DB" w:rsidRDefault="00476B9A">
      <w:pPr>
        <w:kinsoku w:val="0"/>
        <w:overflowPunct w:val="0"/>
        <w:autoSpaceDE/>
        <w:autoSpaceDN/>
        <w:adjustRightInd/>
        <w:spacing w:before="360" w:line="270" w:lineRule="exact"/>
        <w:ind w:left="72" w:right="72"/>
        <w:jc w:val="center"/>
        <w:textAlignment w:val="baseline"/>
        <w:rPr>
          <w:b/>
          <w:spacing w:val="12"/>
          <w:sz w:val="23"/>
          <w:szCs w:val="23"/>
          <w:lang w:val="es-ES" w:eastAsia="es-ES"/>
        </w:rPr>
      </w:pPr>
      <w:r w:rsidRPr="00E603DB">
        <w:rPr>
          <w:b/>
          <w:spacing w:val="12"/>
          <w:sz w:val="23"/>
          <w:szCs w:val="23"/>
          <w:lang w:val="es-ES" w:eastAsia="es-ES"/>
        </w:rPr>
        <w:t>CONSIDERANDO</w:t>
      </w:r>
    </w:p>
    <w:p w:rsidR="002E7B8C" w:rsidRDefault="00476B9A">
      <w:pPr>
        <w:numPr>
          <w:ilvl w:val="0"/>
          <w:numId w:val="6"/>
        </w:numPr>
        <w:kinsoku w:val="0"/>
        <w:overflowPunct w:val="0"/>
        <w:autoSpaceDE/>
        <w:autoSpaceDN/>
        <w:adjustRightInd/>
        <w:spacing w:before="315" w:line="314" w:lineRule="exact"/>
        <w:ind w:right="72"/>
        <w:jc w:val="both"/>
        <w:textAlignment w:val="baseline"/>
        <w:rPr>
          <w:sz w:val="23"/>
          <w:szCs w:val="23"/>
          <w:lang w:val="es-ES" w:eastAsia="es-ES"/>
        </w:rPr>
      </w:pPr>
      <w:r w:rsidRPr="00E603DB">
        <w:rPr>
          <w:b/>
          <w:bCs/>
          <w:sz w:val="23"/>
          <w:szCs w:val="23"/>
          <w:lang w:val="es-ES" w:eastAsia="es-ES"/>
        </w:rPr>
        <w:t xml:space="preserve">SOBRE </w:t>
      </w:r>
      <w:r w:rsidRPr="00E603DB">
        <w:rPr>
          <w:b/>
          <w:sz w:val="23"/>
          <w:szCs w:val="23"/>
          <w:lang w:val="es-ES" w:eastAsia="es-ES"/>
        </w:rPr>
        <w:t>LA COMPETENCIA:</w:t>
      </w:r>
      <w:r>
        <w:rPr>
          <w:sz w:val="23"/>
          <w:szCs w:val="23"/>
          <w:lang w:val="es-ES" w:eastAsia="es-ES"/>
        </w:rPr>
        <w:t xml:space="preserve"> 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y nulidad concomitante.</w:t>
      </w:r>
    </w:p>
    <w:p w:rsidR="002E7B8C" w:rsidRDefault="00476B9A">
      <w:pPr>
        <w:numPr>
          <w:ilvl w:val="0"/>
          <w:numId w:val="7"/>
        </w:numPr>
        <w:kinsoku w:val="0"/>
        <w:overflowPunct w:val="0"/>
        <w:autoSpaceDE/>
        <w:autoSpaceDN/>
        <w:adjustRightInd/>
        <w:spacing w:before="308" w:after="362" w:line="320" w:lineRule="exact"/>
        <w:ind w:right="72"/>
        <w:jc w:val="both"/>
        <w:textAlignment w:val="baseline"/>
        <w:rPr>
          <w:sz w:val="24"/>
          <w:szCs w:val="24"/>
          <w:lang w:eastAsia="en-US"/>
        </w:rPr>
      </w:pPr>
      <w:r w:rsidRPr="00E603DB">
        <w:rPr>
          <w:b/>
          <w:spacing w:val="-1"/>
          <w:sz w:val="23"/>
          <w:szCs w:val="23"/>
          <w:lang w:val="es-ES" w:eastAsia="es-ES"/>
        </w:rPr>
        <w:t xml:space="preserve">SOBRE LA ADMISIBILIDAD DEL RECURSO CONTRA EL ARTÍCULO 7.12 DE LA SESIÓN ORDINARIA 61-2016, CELEBRADA EL 1° DE DICIEMBRE DEL 2016. </w:t>
      </w:r>
      <w:r w:rsidRPr="00E603DB">
        <w:rPr>
          <w:b/>
          <w:spacing w:val="-1"/>
          <w:sz w:val="23"/>
          <w:szCs w:val="23"/>
          <w:u w:val="single"/>
          <w:lang w:val="es-ES" w:eastAsia="es-ES"/>
        </w:rPr>
        <w:t xml:space="preserve">En cuanto a </w:t>
      </w:r>
      <w:r w:rsidRPr="00E603DB">
        <w:rPr>
          <w:b/>
          <w:bCs/>
          <w:spacing w:val="-1"/>
          <w:sz w:val="23"/>
          <w:szCs w:val="23"/>
          <w:u w:val="single"/>
          <w:lang w:val="es-ES" w:eastAsia="es-ES"/>
        </w:rPr>
        <w:t>la Legitimación</w:t>
      </w:r>
      <w:r>
        <w:rPr>
          <w:b/>
          <w:bCs/>
          <w:spacing w:val="-1"/>
          <w:sz w:val="23"/>
          <w:szCs w:val="23"/>
          <w:u w:val="single"/>
          <w:lang w:val="es-ES" w:eastAsia="es-ES"/>
        </w:rPr>
        <w:t>:</w:t>
      </w:r>
      <w:r>
        <w:rPr>
          <w:spacing w:val="-1"/>
          <w:sz w:val="23"/>
          <w:szCs w:val="23"/>
          <w:lang w:val="es-ES" w:eastAsia="es-ES"/>
        </w:rPr>
        <w:t xml:space="preserve"> Se tiene por acreditada la Representación del señor </w:t>
      </w:r>
      <w:r w:rsidRPr="00E603DB">
        <w:rPr>
          <w:b/>
          <w:spacing w:val="-1"/>
          <w:sz w:val="23"/>
          <w:szCs w:val="23"/>
          <w:lang w:val="es-ES" w:eastAsia="es-ES"/>
        </w:rPr>
        <w:t>R</w:t>
      </w:r>
      <w:r w:rsidR="00E603DB">
        <w:rPr>
          <w:b/>
          <w:spacing w:val="-1"/>
          <w:sz w:val="23"/>
          <w:szCs w:val="23"/>
          <w:lang w:val="es-ES" w:eastAsia="es-ES"/>
        </w:rPr>
        <w:t>.S.S.K.</w:t>
      </w:r>
      <w:r>
        <w:rPr>
          <w:spacing w:val="-1"/>
          <w:sz w:val="23"/>
          <w:szCs w:val="23"/>
          <w:lang w:val="es-ES" w:eastAsia="es-ES"/>
        </w:rPr>
        <w:t xml:space="preserve">, en representación de </w:t>
      </w:r>
      <w:r w:rsidRPr="00E603DB">
        <w:rPr>
          <w:b/>
          <w:spacing w:val="-1"/>
          <w:sz w:val="23"/>
          <w:szCs w:val="23"/>
          <w:lang w:val="es-ES" w:eastAsia="es-ES"/>
        </w:rPr>
        <w:t>T</w:t>
      </w:r>
      <w:r w:rsidR="00E603DB">
        <w:rPr>
          <w:b/>
          <w:spacing w:val="-1"/>
          <w:sz w:val="23"/>
          <w:szCs w:val="23"/>
          <w:lang w:val="es-ES" w:eastAsia="es-ES"/>
        </w:rPr>
        <w:t>.C.P.L.</w:t>
      </w:r>
      <w:r>
        <w:rPr>
          <w:spacing w:val="-1"/>
          <w:sz w:val="23"/>
          <w:szCs w:val="23"/>
          <w:lang w:val="es-ES" w:eastAsia="es-ES"/>
        </w:rPr>
        <w:t xml:space="preserve">, cédula jurídica número </w:t>
      </w:r>
      <w:r w:rsidR="00E603DB">
        <w:rPr>
          <w:spacing w:val="-1"/>
          <w:sz w:val="23"/>
          <w:szCs w:val="23"/>
          <w:lang w:val="es-ES" w:eastAsia="es-ES"/>
        </w:rPr>
        <w:t>..</w:t>
      </w:r>
      <w:r>
        <w:rPr>
          <w:spacing w:val="-1"/>
          <w:sz w:val="23"/>
          <w:szCs w:val="23"/>
          <w:lang w:val="es-ES" w:eastAsia="es-ES"/>
        </w:rPr>
        <w:t xml:space="preserve">. Ahora bien, el Recurso de Apelación contra el </w:t>
      </w:r>
      <w:r>
        <w:rPr>
          <w:b/>
          <w:bCs/>
          <w:spacing w:val="-1"/>
          <w:sz w:val="23"/>
          <w:szCs w:val="23"/>
          <w:lang w:val="es-ES" w:eastAsia="es-ES"/>
        </w:rPr>
        <w:t xml:space="preserve">Artículo 7.12 de la Sesión Ordinaria 61-2016, celebrada el 1° de diciembre del 2016, por la Junta Directiva del Consejo de Trasporte Público, </w:t>
      </w:r>
      <w:r>
        <w:rPr>
          <w:spacing w:val="-1"/>
          <w:sz w:val="23"/>
          <w:szCs w:val="23"/>
          <w:lang w:val="es-ES" w:eastAsia="es-ES"/>
        </w:rPr>
        <w:t xml:space="preserve">que refiere a la emisión de lineamientos para el traslado, custodia y entrega del equipaje de los usuarios de transporte público modalidad autobús. En este caso se tiene que la empresa recurrente </w:t>
      </w:r>
      <w:r w:rsidRPr="00E603DB">
        <w:rPr>
          <w:b/>
          <w:spacing w:val="-1"/>
          <w:sz w:val="23"/>
          <w:szCs w:val="23"/>
          <w:lang w:val="es-ES" w:eastAsia="es-ES"/>
        </w:rPr>
        <w:t>T</w:t>
      </w:r>
      <w:r w:rsidR="00E603DB">
        <w:rPr>
          <w:b/>
          <w:spacing w:val="-1"/>
          <w:sz w:val="23"/>
          <w:szCs w:val="23"/>
          <w:lang w:val="es-ES" w:eastAsia="es-ES"/>
        </w:rPr>
        <w:t>.C.P.L.</w:t>
      </w:r>
      <w:r>
        <w:rPr>
          <w:spacing w:val="-1"/>
          <w:sz w:val="23"/>
          <w:szCs w:val="23"/>
          <w:lang w:val="es-ES" w:eastAsia="es-ES"/>
        </w:rPr>
        <w:t xml:space="preserve">, cédula jurídica número </w:t>
      </w:r>
      <w:r w:rsidR="00E603DB">
        <w:rPr>
          <w:spacing w:val="-1"/>
          <w:sz w:val="23"/>
          <w:szCs w:val="23"/>
          <w:lang w:val="es-ES" w:eastAsia="es-ES"/>
        </w:rPr>
        <w:t>…</w:t>
      </w:r>
    </w:p>
    <w:p w:rsidR="002E7B8C" w:rsidRDefault="002E7B8C">
      <w:pPr>
        <w:widowControl/>
        <w:rPr>
          <w:sz w:val="24"/>
          <w:szCs w:val="24"/>
        </w:rPr>
        <w:sectPr w:rsidR="002E7B8C">
          <w:pgSz w:w="12293" w:h="15706"/>
          <w:pgMar w:top="1300" w:right="1643" w:bottom="990" w:left="1683" w:header="720" w:footer="720" w:gutter="0"/>
          <w:cols w:space="720"/>
          <w:noEndnote/>
        </w:sectPr>
      </w:pPr>
    </w:p>
    <w:p w:rsidR="002E7B8C" w:rsidRDefault="002E7B8C">
      <w:pPr>
        <w:widowControl/>
        <w:rPr>
          <w:sz w:val="24"/>
          <w:szCs w:val="24"/>
        </w:rPr>
        <w:sectPr w:rsidR="002E7B8C">
          <w:type w:val="continuous"/>
          <w:pgSz w:w="12293" w:h="15706"/>
          <w:pgMar w:top="1300" w:right="1637" w:bottom="990" w:left="8136" w:header="720" w:footer="720" w:gutter="0"/>
          <w:cols w:space="720"/>
          <w:noEndnote/>
        </w:sectPr>
      </w:pPr>
    </w:p>
    <w:p w:rsidR="002E7B8C" w:rsidRDefault="00476B9A">
      <w:pPr>
        <w:kinsoku w:val="0"/>
        <w:overflowPunct w:val="0"/>
        <w:autoSpaceDE/>
        <w:autoSpaceDN/>
        <w:adjustRightInd/>
        <w:spacing w:line="315" w:lineRule="exact"/>
        <w:ind w:right="72"/>
        <w:jc w:val="both"/>
        <w:textAlignment w:val="baseline"/>
        <w:rPr>
          <w:sz w:val="24"/>
          <w:szCs w:val="24"/>
          <w:lang w:val="es-ES" w:eastAsia="es-ES"/>
        </w:rPr>
      </w:pPr>
      <w:r>
        <w:rPr>
          <w:sz w:val="24"/>
          <w:szCs w:val="24"/>
          <w:lang w:val="es-ES" w:eastAsia="es-ES"/>
        </w:rPr>
        <w:lastRenderedPageBreak/>
        <w:t xml:space="preserve">es concesionaria para el Transporte Remunerado de Personas, y en esa condición se le comunicó el acuerdo impugnado. </w:t>
      </w:r>
      <w:r>
        <w:rPr>
          <w:b/>
          <w:bCs/>
          <w:sz w:val="24"/>
          <w:szCs w:val="24"/>
          <w:u w:val="single"/>
          <w:lang w:val="es-ES" w:eastAsia="es-ES"/>
        </w:rPr>
        <w:t>En cuanto al plazo:</w:t>
      </w:r>
      <w:r>
        <w:rPr>
          <w:sz w:val="24"/>
          <w:szCs w:val="24"/>
          <w:lang w:val="es-ES" w:eastAsia="es-ES"/>
        </w:rPr>
        <w:t xml:space="preserve"> El acto administrativo impugnado, fue notificado a la empresa recurrente el </w:t>
      </w:r>
      <w:r>
        <w:rPr>
          <w:b/>
          <w:bCs/>
          <w:sz w:val="24"/>
          <w:szCs w:val="24"/>
          <w:lang w:val="es-ES" w:eastAsia="es-ES"/>
        </w:rPr>
        <w:t xml:space="preserve">jueves 8 de diciembre del 2016 </w:t>
      </w:r>
      <w:r>
        <w:rPr>
          <w:sz w:val="24"/>
          <w:szCs w:val="24"/>
          <w:lang w:val="es-ES" w:eastAsia="es-ES"/>
        </w:rPr>
        <w:t xml:space="preserve">vía correo electrónico a la dirección electrónica </w:t>
      </w:r>
      <w:hyperlink r:id="rId5" w:history="1">
        <w:r w:rsidR="00E603DB" w:rsidRPr="00446EBE">
          <w:rPr>
            <w:rStyle w:val="Hipervnculo"/>
            <w:sz w:val="24"/>
            <w:szCs w:val="24"/>
            <w:lang w:val="es-ES" w:eastAsia="es-ES"/>
          </w:rPr>
          <w:t>xxxxxxx@yahoo.com</w:t>
        </w:r>
      </w:hyperlink>
      <w:r>
        <w:rPr>
          <w:sz w:val="24"/>
          <w:szCs w:val="24"/>
          <w:lang w:val="es-ES" w:eastAsia="es-ES"/>
        </w:rPr>
        <w:t xml:space="preserve"> - léase el folio 43 del expediente -y su acción recursiva fue presentada hasta el </w:t>
      </w:r>
      <w:r>
        <w:rPr>
          <w:b/>
          <w:bCs/>
          <w:sz w:val="24"/>
          <w:szCs w:val="24"/>
          <w:lang w:val="es-ES" w:eastAsia="es-ES"/>
        </w:rPr>
        <w:t xml:space="preserve">22 de diciembre del 2016 </w:t>
      </w:r>
      <w:r>
        <w:rPr>
          <w:sz w:val="24"/>
          <w:szCs w:val="24"/>
          <w:lang w:val="es-ES" w:eastAsia="es-ES"/>
        </w:rPr>
        <w:t>-léase el folio 1 del expediente-, por lo que el recurso ya había superado el plazo de cinco días (5) determinado en el artículo 11 de la Ley Reguladora del Servicio Público de Transporte Remunerado de Personas en vehículos en la modalidad de taxi, Ley N. 7969. No obstante, deberá estudiarse el alegato de nulidad, para determinar su existencia o no en el caso en particular.</w:t>
      </w:r>
    </w:p>
    <w:p w:rsidR="002E7B8C" w:rsidRDefault="00476B9A">
      <w:pPr>
        <w:kinsoku w:val="0"/>
        <w:overflowPunct w:val="0"/>
        <w:autoSpaceDE/>
        <w:autoSpaceDN/>
        <w:adjustRightInd/>
        <w:spacing w:before="322" w:line="314" w:lineRule="exact"/>
        <w:ind w:right="72"/>
        <w:jc w:val="both"/>
        <w:textAlignment w:val="baseline"/>
        <w:rPr>
          <w:b/>
          <w:bCs/>
          <w:sz w:val="24"/>
          <w:szCs w:val="24"/>
          <w:lang w:val="es-ES" w:eastAsia="es-ES"/>
        </w:rPr>
      </w:pPr>
      <w:r>
        <w:rPr>
          <w:b/>
          <w:bCs/>
          <w:sz w:val="24"/>
          <w:szCs w:val="24"/>
          <w:lang w:val="es-ES" w:eastAsia="es-ES"/>
        </w:rPr>
        <w:t>3.- EN CUANTO A LA NULIDAD INVOCADA EN EL ARTÍCULO 7.12 DE LA SESIÓN ORDINARIA 61-2016, CELEBRADA EL 1° DE DICIEMBRE DEL 2016.</w:t>
      </w:r>
    </w:p>
    <w:p w:rsidR="002E7B8C" w:rsidRDefault="00476B9A">
      <w:pPr>
        <w:kinsoku w:val="0"/>
        <w:overflowPunct w:val="0"/>
        <w:autoSpaceDE/>
        <w:autoSpaceDN/>
        <w:adjustRightInd/>
        <w:spacing w:before="577" w:line="316" w:lineRule="exact"/>
        <w:ind w:right="72"/>
        <w:jc w:val="both"/>
        <w:textAlignment w:val="baseline"/>
        <w:rPr>
          <w:sz w:val="24"/>
          <w:szCs w:val="24"/>
          <w:lang w:val="es-ES" w:eastAsia="es-ES"/>
        </w:rPr>
      </w:pPr>
      <w:r>
        <w:rPr>
          <w:sz w:val="24"/>
          <w:szCs w:val="24"/>
          <w:lang w:val="es-ES" w:eastAsia="es-ES"/>
        </w:rPr>
        <w:t>Ahora bien, respecto a los alegatos de nulidad presentados, este Tribunal considera que contrario a lo indicado por el recurrente el Consejo de Transporte Público ha actuado dentro del marco de la Legalidad y de sus atribuciones.</w:t>
      </w:r>
    </w:p>
    <w:p w:rsidR="002E7B8C" w:rsidRDefault="00476B9A">
      <w:pPr>
        <w:kinsoku w:val="0"/>
        <w:overflowPunct w:val="0"/>
        <w:autoSpaceDE/>
        <w:autoSpaceDN/>
        <w:adjustRightInd/>
        <w:spacing w:before="324" w:line="316" w:lineRule="exact"/>
        <w:ind w:right="72"/>
        <w:jc w:val="both"/>
        <w:textAlignment w:val="baseline"/>
        <w:rPr>
          <w:sz w:val="24"/>
          <w:szCs w:val="24"/>
          <w:lang w:val="es-ES" w:eastAsia="es-ES"/>
        </w:rPr>
      </w:pPr>
      <w:r>
        <w:rPr>
          <w:sz w:val="24"/>
          <w:szCs w:val="24"/>
          <w:lang w:val="es-ES" w:eastAsia="es-ES"/>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de Transporte Público, en el marco de su competencia.</w:t>
      </w:r>
    </w:p>
    <w:p w:rsidR="002E7B8C" w:rsidRDefault="00476B9A">
      <w:pPr>
        <w:kinsoku w:val="0"/>
        <w:overflowPunct w:val="0"/>
        <w:autoSpaceDE/>
        <w:autoSpaceDN/>
        <w:adjustRightInd/>
        <w:spacing w:before="300" w:line="316" w:lineRule="exact"/>
        <w:ind w:right="72"/>
        <w:jc w:val="both"/>
        <w:textAlignment w:val="baseline"/>
        <w:rPr>
          <w:sz w:val="24"/>
          <w:szCs w:val="24"/>
          <w:lang w:val="es-ES" w:eastAsia="es-ES"/>
        </w:rPr>
      </w:pPr>
      <w:r>
        <w:rPr>
          <w:sz w:val="24"/>
          <w:szCs w:val="24"/>
          <w:lang w:val="es-ES" w:eastAsia="es-ES"/>
        </w:rPr>
        <w:t>Al tratarse de un servicio público los operadores están subordinados a las normas del derecho público en la prestación del servicio y por lo tanto obligados a actuar dentro del marco del Principio de Legalidad y cumplir con las obligaciones contractuales contraídas. El Consejo de Transporte Público por su parte, dentro de sus potestades y obligaciones de fiscalización debe verificar que los operadores enmarquen su actuación dentro de los presupuestos impuestos en la Ley y los reglamentos y en caso de detectar anomalías instruir los procedimientos necesarios correctivos, los cuales, dependiendo de la gravedad de las faltas, pueden acarrear la perdida de la concesión, o del permiso según sea el caso.</w:t>
      </w:r>
    </w:p>
    <w:p w:rsidR="002E7B8C" w:rsidRDefault="00476B9A">
      <w:pPr>
        <w:kinsoku w:val="0"/>
        <w:overflowPunct w:val="0"/>
        <w:autoSpaceDE/>
        <w:autoSpaceDN/>
        <w:adjustRightInd/>
        <w:spacing w:before="321" w:line="316" w:lineRule="exact"/>
        <w:ind w:right="72"/>
        <w:jc w:val="both"/>
        <w:textAlignment w:val="baseline"/>
        <w:rPr>
          <w:sz w:val="24"/>
          <w:szCs w:val="24"/>
          <w:lang w:val="es-ES" w:eastAsia="es-ES"/>
        </w:rPr>
      </w:pPr>
      <w:r>
        <w:rPr>
          <w:sz w:val="24"/>
          <w:szCs w:val="24"/>
          <w:lang w:val="es-ES" w:eastAsia="es-ES"/>
        </w:rPr>
        <w:t>El artículo 2 de la Ley Reguladora del Transporte Remunerado de Personas en Vehículos Automotores, del 10 de mayo de 1965, Ley 3503, establece:</w:t>
      </w:r>
    </w:p>
    <w:p w:rsidR="002E7B8C" w:rsidRDefault="00476B9A">
      <w:pPr>
        <w:kinsoku w:val="0"/>
        <w:overflowPunct w:val="0"/>
        <w:autoSpaceDE/>
        <w:autoSpaceDN/>
        <w:adjustRightInd/>
        <w:spacing w:before="311" w:after="452" w:line="232" w:lineRule="exact"/>
        <w:ind w:left="864" w:right="864" w:firstLine="72"/>
        <w:jc w:val="both"/>
        <w:textAlignment w:val="baseline"/>
        <w:rPr>
          <w:i/>
          <w:iCs/>
          <w:lang w:val="es-ES" w:eastAsia="es-ES"/>
        </w:rPr>
      </w:pPr>
      <w:r>
        <w:rPr>
          <w:i/>
          <w:iCs/>
          <w:lang w:val="es-ES" w:eastAsia="es-ES"/>
        </w:rPr>
        <w:t>"Artículo 2.- Es competencia del Ministerio de Transportes lo relativo al tránsito y transporte automotor de personas en el país. Este Ministerio podrá tomar a su cargo la prestación de estos servicios públicos ya sea en forma directa o mediante otras</w:t>
      </w:r>
    </w:p>
    <w:p w:rsidR="002E7B8C" w:rsidRDefault="002E7B8C">
      <w:pPr>
        <w:widowControl/>
        <w:rPr>
          <w:sz w:val="24"/>
          <w:szCs w:val="24"/>
        </w:rPr>
        <w:sectPr w:rsidR="002E7B8C">
          <w:pgSz w:w="12298" w:h="15686"/>
          <w:pgMar w:top="1420" w:right="1555" w:bottom="810" w:left="1776" w:header="720" w:footer="720" w:gutter="0"/>
          <w:cols w:space="720"/>
          <w:noEndnote/>
        </w:sectPr>
      </w:pPr>
    </w:p>
    <w:p w:rsidR="002E7B8C" w:rsidRDefault="00476B9A">
      <w:pPr>
        <w:kinsoku w:val="0"/>
        <w:overflowPunct w:val="0"/>
        <w:autoSpaceDE/>
        <w:autoSpaceDN/>
        <w:adjustRightInd/>
        <w:spacing w:before="34" w:line="207" w:lineRule="exact"/>
        <w:ind w:left="936" w:right="936"/>
        <w:jc w:val="both"/>
        <w:textAlignment w:val="baseline"/>
        <w:rPr>
          <w:i/>
          <w:iCs/>
          <w:lang w:val="es-ES" w:eastAsia="es-ES"/>
        </w:rPr>
      </w:pPr>
      <w:r>
        <w:rPr>
          <w:i/>
          <w:iCs/>
          <w:lang w:val="es-ES" w:eastAsia="es-ES"/>
        </w:rPr>
        <w:lastRenderedPageBreak/>
        <w:t>instituciones del Estado, o bien conceder derechos a empresarios particulares para explotarlos.</w:t>
      </w:r>
    </w:p>
    <w:p w:rsidR="002E7B8C" w:rsidRDefault="00476B9A">
      <w:pPr>
        <w:kinsoku w:val="0"/>
        <w:overflowPunct w:val="0"/>
        <w:autoSpaceDE/>
        <w:autoSpaceDN/>
        <w:adjustRightInd/>
        <w:spacing w:before="229" w:line="229" w:lineRule="exact"/>
        <w:ind w:left="936" w:right="936"/>
        <w:jc w:val="both"/>
        <w:textAlignment w:val="baseline"/>
        <w:rPr>
          <w:i/>
          <w:iCs/>
          <w:lang w:val="es-ES" w:eastAsia="es-ES"/>
        </w:rPr>
      </w:pPr>
      <w:r>
        <w:rPr>
          <w:i/>
          <w:iCs/>
          <w:lang w:val="es-ES" w:eastAsia="es-ES"/>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2E7B8C" w:rsidRDefault="00476B9A">
      <w:pPr>
        <w:kinsoku w:val="0"/>
        <w:overflowPunct w:val="0"/>
        <w:autoSpaceDE/>
        <w:autoSpaceDN/>
        <w:adjustRightInd/>
        <w:spacing w:before="235" w:line="229" w:lineRule="exact"/>
        <w:ind w:left="936"/>
        <w:textAlignment w:val="baseline"/>
        <w:rPr>
          <w:i/>
          <w:iCs/>
          <w:spacing w:val="-1"/>
          <w:lang w:val="es-ES" w:eastAsia="es-ES"/>
        </w:rPr>
      </w:pPr>
      <w:r>
        <w:rPr>
          <w:i/>
          <w:iCs/>
          <w:spacing w:val="-1"/>
          <w:lang w:val="es-ES" w:eastAsia="es-ES"/>
        </w:rPr>
        <w:t>A fin de cumplir con esta obligación, el Ministerio podrá:</w:t>
      </w:r>
    </w:p>
    <w:p w:rsidR="002E7B8C" w:rsidRDefault="00476B9A">
      <w:pPr>
        <w:kinsoku w:val="0"/>
        <w:overflowPunct w:val="0"/>
        <w:autoSpaceDE/>
        <w:autoSpaceDN/>
        <w:adjustRightInd/>
        <w:spacing w:before="217" w:line="229" w:lineRule="exact"/>
        <w:ind w:left="936"/>
        <w:textAlignment w:val="baseline"/>
        <w:rPr>
          <w:i/>
          <w:iCs/>
          <w:spacing w:val="-6"/>
          <w:lang w:val="es-ES" w:eastAsia="es-ES"/>
        </w:rPr>
      </w:pPr>
      <w:r>
        <w:rPr>
          <w:i/>
          <w:iCs/>
          <w:spacing w:val="-6"/>
          <w:lang w:val="es-ES" w:eastAsia="es-ES"/>
        </w:rPr>
        <w:t>(...)</w:t>
      </w:r>
    </w:p>
    <w:p w:rsidR="002E7B8C" w:rsidRDefault="00476B9A">
      <w:pPr>
        <w:kinsoku w:val="0"/>
        <w:overflowPunct w:val="0"/>
        <w:autoSpaceDE/>
        <w:autoSpaceDN/>
        <w:adjustRightInd/>
        <w:spacing w:before="8" w:line="229" w:lineRule="exact"/>
        <w:jc w:val="center"/>
        <w:textAlignment w:val="baseline"/>
        <w:rPr>
          <w:i/>
          <w:iCs/>
          <w:lang w:val="es-ES" w:eastAsia="es-ES"/>
        </w:rPr>
      </w:pPr>
      <w:r>
        <w:rPr>
          <w:i/>
          <w:iCs/>
          <w:lang w:val="es-ES" w:eastAsia="es-ES"/>
        </w:rPr>
        <w:t>c) Adoptar las medidas para que se satisfagan, en forma eficiente, las necesidades del</w:t>
      </w:r>
    </w:p>
    <w:p w:rsidR="002E7B8C" w:rsidRDefault="00476B9A">
      <w:pPr>
        <w:kinsoku w:val="0"/>
        <w:overflowPunct w:val="0"/>
        <w:autoSpaceDE/>
        <w:autoSpaceDN/>
        <w:adjustRightInd/>
        <w:spacing w:line="225" w:lineRule="exact"/>
        <w:ind w:left="936"/>
        <w:textAlignment w:val="baseline"/>
        <w:rPr>
          <w:i/>
          <w:iCs/>
          <w:lang w:val="es-ES" w:eastAsia="es-ES"/>
        </w:rPr>
      </w:pPr>
      <w:r>
        <w:rPr>
          <w:i/>
          <w:iCs/>
          <w:lang w:val="es-ES" w:eastAsia="es-ES"/>
        </w:rPr>
        <w:t>tránsito de vehículos y del transporte de personas (...)"</w:t>
      </w:r>
    </w:p>
    <w:p w:rsidR="002E7B8C" w:rsidRDefault="00476B9A">
      <w:pPr>
        <w:kinsoku w:val="0"/>
        <w:overflowPunct w:val="0"/>
        <w:autoSpaceDE/>
        <w:autoSpaceDN/>
        <w:adjustRightInd/>
        <w:spacing w:before="516" w:line="287" w:lineRule="exact"/>
        <w:jc w:val="both"/>
        <w:textAlignment w:val="baseline"/>
        <w:rPr>
          <w:spacing w:val="8"/>
          <w:lang w:val="es-ES" w:eastAsia="es-ES"/>
        </w:rPr>
      </w:pPr>
      <w:r>
        <w:rPr>
          <w:spacing w:val="8"/>
          <w:lang w:val="es-ES" w:eastAsia="es-ES"/>
        </w:rPr>
        <w:t xml:space="preserve">Ley Reguladora del Servicio Público de Transporte Remunerado de Personas en Vehículos en la Modalidad de Taxi, N. 7969, por su parte en el artículo 7 establece las atribuciones del Consejo de Transporte Público, y por ende delimita el marco de sus </w:t>
      </w:r>
      <w:r w:rsidR="00E603DB">
        <w:rPr>
          <w:spacing w:val="8"/>
          <w:lang w:val="es-ES" w:eastAsia="es-ES"/>
        </w:rPr>
        <w:t>competencias</w:t>
      </w:r>
      <w:r>
        <w:rPr>
          <w:spacing w:val="8"/>
          <w:lang w:val="es-ES" w:eastAsia="es-ES"/>
        </w:rPr>
        <w:t>:</w:t>
      </w:r>
    </w:p>
    <w:p w:rsidR="002E7B8C" w:rsidRPr="00E603DB" w:rsidRDefault="00476B9A">
      <w:pPr>
        <w:kinsoku w:val="0"/>
        <w:overflowPunct w:val="0"/>
        <w:autoSpaceDE/>
        <w:autoSpaceDN/>
        <w:adjustRightInd/>
        <w:spacing w:before="549" w:line="229" w:lineRule="exact"/>
        <w:ind w:left="936"/>
        <w:textAlignment w:val="baseline"/>
        <w:rPr>
          <w:b/>
          <w:i/>
          <w:iCs/>
          <w:spacing w:val="1"/>
          <w:lang w:val="es-ES" w:eastAsia="es-ES"/>
        </w:rPr>
      </w:pPr>
      <w:r w:rsidRPr="00E603DB">
        <w:rPr>
          <w:b/>
          <w:i/>
          <w:iCs/>
          <w:spacing w:val="1"/>
          <w:lang w:val="es-ES" w:eastAsia="es-ES"/>
        </w:rPr>
        <w:t>"Artículo 7.- Atribuciones del Consejo</w:t>
      </w:r>
    </w:p>
    <w:p w:rsidR="002E7B8C" w:rsidRDefault="00476B9A">
      <w:pPr>
        <w:kinsoku w:val="0"/>
        <w:overflowPunct w:val="0"/>
        <w:autoSpaceDE/>
        <w:autoSpaceDN/>
        <w:adjustRightInd/>
        <w:spacing w:before="5" w:line="229" w:lineRule="exact"/>
        <w:jc w:val="center"/>
        <w:textAlignment w:val="baseline"/>
        <w:rPr>
          <w:i/>
          <w:iCs/>
          <w:lang w:val="es-ES" w:eastAsia="es-ES"/>
        </w:rPr>
      </w:pPr>
      <w:r>
        <w:rPr>
          <w:i/>
          <w:iCs/>
          <w:lang w:val="es-ES" w:eastAsia="es-ES"/>
        </w:rPr>
        <w:t>El Consejo, en el ejercicio de sus competencias, tendrá las siguientes atribuciones:</w:t>
      </w:r>
    </w:p>
    <w:p w:rsidR="002E7B8C" w:rsidRDefault="00476B9A">
      <w:pPr>
        <w:numPr>
          <w:ilvl w:val="0"/>
          <w:numId w:val="8"/>
        </w:numPr>
        <w:kinsoku w:val="0"/>
        <w:overflowPunct w:val="0"/>
        <w:autoSpaceDE/>
        <w:autoSpaceDN/>
        <w:adjustRightInd/>
        <w:spacing w:line="229" w:lineRule="exact"/>
        <w:ind w:right="936"/>
        <w:jc w:val="both"/>
        <w:textAlignment w:val="baseline"/>
        <w:rPr>
          <w:i/>
          <w:iCs/>
          <w:lang w:val="es-ES" w:eastAsia="es-ES"/>
        </w:rPr>
      </w:pPr>
      <w:r w:rsidRPr="00E603DB">
        <w:rPr>
          <w:b/>
          <w:i/>
          <w:iCs/>
          <w:lang w:val="es-ES" w:eastAsia="es-ES"/>
        </w:rPr>
        <w:t>Coordinar la aplicación correcta de las políticas de transporte público, su planeamiento, la revisión técnica, el otorgamiento y la administración de las concesiones, así como la regulación de los permisos que legalmente procedan</w:t>
      </w:r>
      <w:r>
        <w:rPr>
          <w:i/>
          <w:iCs/>
          <w:lang w:val="es-ES" w:eastAsia="es-ES"/>
        </w:rPr>
        <w:t>.</w:t>
      </w:r>
    </w:p>
    <w:p w:rsidR="002E7B8C" w:rsidRDefault="00476B9A">
      <w:pPr>
        <w:numPr>
          <w:ilvl w:val="0"/>
          <w:numId w:val="8"/>
        </w:numPr>
        <w:kinsoku w:val="0"/>
        <w:overflowPunct w:val="0"/>
        <w:autoSpaceDE/>
        <w:autoSpaceDN/>
        <w:adjustRightInd/>
        <w:spacing w:line="229" w:lineRule="exact"/>
        <w:ind w:right="936"/>
        <w:jc w:val="both"/>
        <w:textAlignment w:val="baseline"/>
        <w:rPr>
          <w:i/>
          <w:iCs/>
          <w:spacing w:val="-2"/>
          <w:lang w:val="es-ES" w:eastAsia="es-ES"/>
        </w:rPr>
      </w:pPr>
      <w:r>
        <w:rPr>
          <w:i/>
          <w:iCs/>
          <w:spacing w:val="-2"/>
          <w:lang w:val="es-ES" w:eastAsia="es-ES"/>
        </w:rPr>
        <w:t>Estudiar y emitir opinión sobre los asuntos sometidos a su conocimiento por cualquier dependencia o institución involucrada en servicios de transporte público, planeamiento, revisión técnica, administración y otorgamiento de concesiones y permisos.</w:t>
      </w:r>
    </w:p>
    <w:p w:rsidR="002E7B8C" w:rsidRDefault="00476B9A">
      <w:pPr>
        <w:numPr>
          <w:ilvl w:val="0"/>
          <w:numId w:val="8"/>
        </w:numPr>
        <w:kinsoku w:val="0"/>
        <w:overflowPunct w:val="0"/>
        <w:autoSpaceDE/>
        <w:autoSpaceDN/>
        <w:adjustRightInd/>
        <w:spacing w:line="226" w:lineRule="exact"/>
        <w:ind w:right="936"/>
        <w:jc w:val="both"/>
        <w:textAlignment w:val="baseline"/>
        <w:rPr>
          <w:i/>
          <w:iCs/>
          <w:lang w:val="es-ES" w:eastAsia="es-ES"/>
        </w:rPr>
      </w:pPr>
      <w:r>
        <w:rPr>
          <w:i/>
          <w:iCs/>
          <w:lang w:val="es-ES" w:eastAsia="es-ES"/>
        </w:rPr>
        <w:t>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2E7B8C" w:rsidRPr="00E603DB" w:rsidRDefault="00476B9A">
      <w:pPr>
        <w:numPr>
          <w:ilvl w:val="0"/>
          <w:numId w:val="8"/>
        </w:numPr>
        <w:kinsoku w:val="0"/>
        <w:overflowPunct w:val="0"/>
        <w:autoSpaceDE/>
        <w:autoSpaceDN/>
        <w:adjustRightInd/>
        <w:spacing w:line="228" w:lineRule="exact"/>
        <w:ind w:right="936"/>
        <w:jc w:val="both"/>
        <w:textAlignment w:val="baseline"/>
        <w:rPr>
          <w:b/>
          <w:i/>
          <w:iCs/>
          <w:lang w:val="es-ES" w:eastAsia="es-ES"/>
        </w:rPr>
      </w:pPr>
      <w:r w:rsidRPr="00E603DB">
        <w:rPr>
          <w:b/>
          <w:i/>
          <w:iCs/>
          <w:lang w:val="es-ES" w:eastAsia="es-ES"/>
        </w:rPr>
        <w:t>Establecer y recomendar normas, procedimientos y acciones que puedan mejorar las políticas y directrices en materia de transporte público, planeamiento, revisión técnica, administración y otorgamiento de concesiones y permisos.</w:t>
      </w:r>
    </w:p>
    <w:p w:rsidR="002E7B8C" w:rsidRDefault="00476B9A">
      <w:pPr>
        <w:numPr>
          <w:ilvl w:val="0"/>
          <w:numId w:val="8"/>
        </w:numPr>
        <w:kinsoku w:val="0"/>
        <w:overflowPunct w:val="0"/>
        <w:autoSpaceDE/>
        <w:autoSpaceDN/>
        <w:adjustRightInd/>
        <w:spacing w:line="228" w:lineRule="exact"/>
        <w:ind w:right="936"/>
        <w:jc w:val="both"/>
        <w:textAlignment w:val="baseline"/>
        <w:rPr>
          <w:i/>
          <w:iCs/>
          <w:lang w:val="es-ES" w:eastAsia="es-ES"/>
        </w:rPr>
      </w:pPr>
      <w:r>
        <w:rPr>
          <w:i/>
          <w:iCs/>
          <w:lang w:val="es-ES" w:eastAsia="es-ES"/>
        </w:rPr>
        <w:t>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2E7B8C" w:rsidRDefault="00476B9A">
      <w:pPr>
        <w:kinsoku w:val="0"/>
        <w:overflowPunct w:val="0"/>
        <w:autoSpaceDE/>
        <w:autoSpaceDN/>
        <w:adjustRightInd/>
        <w:spacing w:before="8" w:line="229" w:lineRule="exact"/>
        <w:ind w:left="936" w:right="936"/>
        <w:jc w:val="both"/>
        <w:textAlignment w:val="baseline"/>
        <w:rPr>
          <w:i/>
          <w:iCs/>
          <w:lang w:val="es-ES" w:eastAsia="es-ES"/>
        </w:rPr>
      </w:pPr>
      <w:r>
        <w:rPr>
          <w:i/>
          <w:iCs/>
          <w:lang w:val="es-ES" w:eastAsia="es-ES"/>
        </w:rPr>
        <w:t xml:space="preserve">j9 Conocer, tramitar y resolver, de oficio o a instancia de parte, las denuncias referentes a los </w:t>
      </w:r>
      <w:proofErr w:type="spellStart"/>
      <w:r>
        <w:rPr>
          <w:i/>
          <w:iCs/>
          <w:lang w:val="es-ES" w:eastAsia="es-ES"/>
        </w:rPr>
        <w:t>comportamiéntos</w:t>
      </w:r>
      <w:proofErr w:type="spellEnd"/>
      <w:r>
        <w:rPr>
          <w:i/>
          <w:iCs/>
          <w:lang w:val="es-ES" w:eastAsia="es-ES"/>
        </w:rPr>
        <w:t xml:space="preserve"> activos y omisos que violen las normas de la legislación del transporte público o amenacen con violarlas.</w:t>
      </w:r>
    </w:p>
    <w:p w:rsidR="002E7B8C" w:rsidRDefault="00476B9A">
      <w:pPr>
        <w:numPr>
          <w:ilvl w:val="0"/>
          <w:numId w:val="9"/>
        </w:numPr>
        <w:kinsoku w:val="0"/>
        <w:overflowPunct w:val="0"/>
        <w:autoSpaceDE/>
        <w:autoSpaceDN/>
        <w:adjustRightInd/>
        <w:spacing w:line="233" w:lineRule="exact"/>
        <w:ind w:right="936"/>
        <w:jc w:val="both"/>
        <w:textAlignment w:val="baseline"/>
        <w:rPr>
          <w:i/>
          <w:iCs/>
          <w:lang w:val="es-ES" w:eastAsia="es-ES"/>
        </w:rPr>
      </w:pPr>
      <w:r>
        <w:rPr>
          <w:i/>
          <w:iCs/>
          <w:lang w:val="es-ES" w:eastAsia="es-ES"/>
        </w:rPr>
        <w:t>Preparar un plan estratégico cuyo objetivo esencial sea organizar, legal, técnica y administrativamente, el funcionamiento de un plan de desarrollo tecnológico en materia de transporte público.</w:t>
      </w:r>
    </w:p>
    <w:p w:rsidR="002E7B8C" w:rsidRDefault="00476B9A">
      <w:pPr>
        <w:numPr>
          <w:ilvl w:val="0"/>
          <w:numId w:val="9"/>
        </w:numPr>
        <w:kinsoku w:val="0"/>
        <w:overflowPunct w:val="0"/>
        <w:autoSpaceDE/>
        <w:autoSpaceDN/>
        <w:adjustRightInd/>
        <w:spacing w:line="232" w:lineRule="exact"/>
        <w:ind w:right="936"/>
        <w:jc w:val="both"/>
        <w:textAlignment w:val="baseline"/>
        <w:rPr>
          <w:i/>
          <w:iCs/>
          <w:lang w:val="es-ES" w:eastAsia="es-ES"/>
        </w:rPr>
      </w:pPr>
      <w:r>
        <w:rPr>
          <w:i/>
          <w:iCs/>
          <w:lang w:val="es-ES" w:eastAsia="es-ES"/>
        </w:rPr>
        <w:t>Promover el desarrollo y la capacitación del recurso humano involucrado en la actividad, en concordancia con los requerimientos de un sistema moderno de transporte público.</w:t>
      </w:r>
    </w:p>
    <w:p w:rsidR="002E7B8C" w:rsidRDefault="00476B9A">
      <w:pPr>
        <w:numPr>
          <w:ilvl w:val="0"/>
          <w:numId w:val="9"/>
        </w:numPr>
        <w:kinsoku w:val="0"/>
        <w:overflowPunct w:val="0"/>
        <w:autoSpaceDE/>
        <w:autoSpaceDN/>
        <w:adjustRightInd/>
        <w:spacing w:line="229" w:lineRule="exact"/>
        <w:jc w:val="both"/>
        <w:textAlignment w:val="baseline"/>
        <w:rPr>
          <w:i/>
          <w:iCs/>
          <w:lang w:val="es-ES" w:eastAsia="es-ES"/>
        </w:rPr>
      </w:pPr>
      <w:r>
        <w:rPr>
          <w:i/>
          <w:iCs/>
          <w:lang w:val="es-ES" w:eastAsia="es-ES"/>
        </w:rPr>
        <w:t>Fijar las paradas terminales e intermedias de todos los servicios de transporte público</w:t>
      </w:r>
    </w:p>
    <w:p w:rsidR="002E7B8C" w:rsidRDefault="002E7B8C">
      <w:pPr>
        <w:widowControl/>
        <w:rPr>
          <w:sz w:val="24"/>
          <w:szCs w:val="24"/>
        </w:rPr>
        <w:sectPr w:rsidR="002E7B8C">
          <w:pgSz w:w="12298" w:h="15686"/>
          <w:pgMar w:top="1320" w:right="1648" w:bottom="990" w:left="1683" w:header="720" w:footer="720" w:gutter="0"/>
          <w:cols w:space="720"/>
          <w:noEndnote/>
        </w:sectPr>
      </w:pPr>
    </w:p>
    <w:p w:rsidR="002E7B8C" w:rsidRDefault="00476B9A">
      <w:pPr>
        <w:kinsoku w:val="0"/>
        <w:overflowPunct w:val="0"/>
        <w:autoSpaceDE/>
        <w:autoSpaceDN/>
        <w:adjustRightInd/>
        <w:spacing w:before="1" w:line="230" w:lineRule="exact"/>
        <w:ind w:left="1008"/>
        <w:textAlignment w:val="baseline"/>
        <w:rPr>
          <w:i/>
          <w:iCs/>
          <w:spacing w:val="-1"/>
          <w:lang w:val="es-ES" w:eastAsia="es-ES"/>
        </w:rPr>
      </w:pPr>
      <w:r>
        <w:rPr>
          <w:i/>
          <w:iCs/>
          <w:spacing w:val="-1"/>
          <w:lang w:val="es-ES" w:eastAsia="es-ES"/>
        </w:rPr>
        <w:lastRenderedPageBreak/>
        <w:t>remunerado de personas.</w:t>
      </w:r>
    </w:p>
    <w:p w:rsidR="002E7B8C" w:rsidRDefault="00476B9A">
      <w:pPr>
        <w:numPr>
          <w:ilvl w:val="0"/>
          <w:numId w:val="10"/>
        </w:numPr>
        <w:kinsoku w:val="0"/>
        <w:overflowPunct w:val="0"/>
        <w:autoSpaceDE/>
        <w:autoSpaceDN/>
        <w:adjustRightInd/>
        <w:spacing w:line="230" w:lineRule="exact"/>
        <w:ind w:right="1008"/>
        <w:jc w:val="both"/>
        <w:textAlignment w:val="baseline"/>
        <w:rPr>
          <w:i/>
          <w:iCs/>
          <w:lang w:val="es-ES" w:eastAsia="es-ES"/>
        </w:rPr>
      </w:pPr>
      <w:r>
        <w:rPr>
          <w:i/>
          <w:iCs/>
          <w:lang w:val="es-ES" w:eastAsia="es-ES"/>
        </w:rPr>
        <w:t>Otorgar permisos por un plazo hasta de doce meses, ante una necesidad no satisfecha y debidamente probada, de servicio público en la modalidad de taxi. Lo anterior se realizará entre quienes se encuentren calificados como elegibles tras los concursos públicos efectuados para optar a una concesión de servicio público de transporte en la modalidad de taxi, pero que no hayan resultado concesionarios. Se les dará prioridad a quienes optaron por participar en las bases de operación más cercanas al lugar donde se necesita el servicio.</w:t>
      </w:r>
    </w:p>
    <w:p w:rsidR="002E7B8C" w:rsidRDefault="00476B9A">
      <w:pPr>
        <w:numPr>
          <w:ilvl w:val="0"/>
          <w:numId w:val="10"/>
        </w:numPr>
        <w:kinsoku w:val="0"/>
        <w:overflowPunct w:val="0"/>
        <w:autoSpaceDE/>
        <w:autoSpaceDN/>
        <w:adjustRightInd/>
        <w:spacing w:before="6" w:line="230" w:lineRule="exact"/>
        <w:ind w:right="1008"/>
        <w:jc w:val="both"/>
        <w:textAlignment w:val="baseline"/>
        <w:rPr>
          <w:i/>
          <w:iCs/>
          <w:lang w:val="es-ES" w:eastAsia="es-ES"/>
        </w:rPr>
      </w:pPr>
      <w:r>
        <w:rPr>
          <w:i/>
          <w:iCs/>
          <w:lang w:val="es-ES" w:eastAsia="es-ES"/>
        </w:rPr>
        <w:t>Solicitar los reajustes de tarifas de todos los servicios de transporte remunerado de personas. (...)" (El resaltado no es del original)</w:t>
      </w:r>
    </w:p>
    <w:p w:rsidR="002E7B8C" w:rsidRDefault="00476B9A">
      <w:pPr>
        <w:kinsoku w:val="0"/>
        <w:overflowPunct w:val="0"/>
        <w:autoSpaceDE/>
        <w:autoSpaceDN/>
        <w:adjustRightInd/>
        <w:spacing w:before="223" w:line="270" w:lineRule="exact"/>
        <w:ind w:left="144" w:right="144"/>
        <w:jc w:val="both"/>
        <w:textAlignment w:val="baseline"/>
        <w:rPr>
          <w:spacing w:val="8"/>
          <w:lang w:val="es-ES" w:eastAsia="es-ES"/>
        </w:rPr>
      </w:pPr>
      <w:r>
        <w:rPr>
          <w:spacing w:val="8"/>
          <w:lang w:val="es-ES" w:eastAsia="es-ES"/>
        </w:rPr>
        <w:t xml:space="preserve">La Sala Constitucional, en la Sentencia 9676 de las 11:25 </w:t>
      </w:r>
      <w:proofErr w:type="spellStart"/>
      <w:r>
        <w:rPr>
          <w:spacing w:val="8"/>
          <w:lang w:val="es-ES" w:eastAsia="es-ES"/>
        </w:rPr>
        <w:t>Hrs</w:t>
      </w:r>
      <w:proofErr w:type="spellEnd"/>
      <w:r>
        <w:rPr>
          <w:spacing w:val="8"/>
          <w:lang w:val="es-ES" w:eastAsia="es-ES"/>
        </w:rPr>
        <w:t>., del 26 de setiembre del 2001, ha establecido en relación al desarrollo de los contratos que se efectúen con el Estado, que éstos se dan las bajo las regulaciones del Derecho Público; indica la Sala:</w:t>
      </w:r>
    </w:p>
    <w:p w:rsidR="002E7B8C" w:rsidRDefault="00476B9A">
      <w:pPr>
        <w:kinsoku w:val="0"/>
        <w:overflowPunct w:val="0"/>
        <w:autoSpaceDE/>
        <w:autoSpaceDN/>
        <w:adjustRightInd/>
        <w:spacing w:before="246" w:line="231" w:lineRule="exact"/>
        <w:ind w:left="1008" w:right="1008"/>
        <w:jc w:val="both"/>
        <w:textAlignment w:val="baseline"/>
        <w:rPr>
          <w:spacing w:val="-2"/>
          <w:lang w:val="es-ES" w:eastAsia="es-ES"/>
        </w:rPr>
      </w:pPr>
      <w:r w:rsidRPr="00E603DB">
        <w:rPr>
          <w:b/>
          <w:spacing w:val="-2"/>
          <w:lang w:val="es-ES" w:eastAsia="es-ES"/>
        </w:rPr>
        <w:t xml:space="preserve">"(...) V.- DE LA SUBORDINACIÓN AL DERECHO PÚBLICO Y POTESTADES DE IMPERIO DE LA ADMINISTRACIÓN. A partir de la anterior definición, es que </w:t>
      </w:r>
      <w:r w:rsidRPr="00E603DB">
        <w:rPr>
          <w:b/>
          <w:i/>
          <w:iCs/>
          <w:spacing w:val="-2"/>
          <w:u w:val="single"/>
          <w:lang w:val="es-ES" w:eastAsia="es-ES"/>
        </w:rPr>
        <w:t>pueden determinarse dos elementos determinantes de los servicios públicos.</w:t>
      </w:r>
      <w:r w:rsidRPr="00E603DB">
        <w:rPr>
          <w:b/>
          <w:spacing w:val="-2"/>
          <w:lang w:val="es-ES" w:eastAsia="es-ES"/>
        </w:rPr>
        <w:t xml:space="preserve"> </w:t>
      </w:r>
      <w:r>
        <w:rPr>
          <w:spacing w:val="-2"/>
          <w:lang w:val="es-ES" w:eastAsia="es-ES"/>
        </w:rPr>
        <w:t xml:space="preserve">Para algunos, lo esencial es el fin perseguido, teniendo por tal, la satisfacción de la necesidad o del interés general, para cuyo fin fue creado, sea a través de la Administración o por intermedio de los particulares (concesionarios), </w:t>
      </w:r>
      <w:proofErr w:type="gramStart"/>
      <w:r>
        <w:rPr>
          <w:spacing w:val="-2"/>
          <w:lang w:val="es-ES" w:eastAsia="es-ES"/>
        </w:rPr>
        <w:t>que</w:t>
      </w:r>
      <w:proofErr w:type="gramEnd"/>
      <w:r>
        <w:rPr>
          <w:spacing w:val="-2"/>
          <w:lang w:val="es-ES" w:eastAsia="es-ES"/>
        </w:rPr>
        <w:t xml:space="preserv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w:t>
      </w:r>
      <w:proofErr w:type="spellStart"/>
      <w:r>
        <w:rPr>
          <w:spacing w:val="-2"/>
          <w:lang w:val="es-ES" w:eastAsia="es-ES"/>
        </w:rPr>
        <w:t>aún</w:t>
      </w:r>
      <w:proofErr w:type="spellEnd"/>
      <w:r>
        <w:rPr>
          <w:spacing w:val="-2"/>
          <w:lang w:val="es-ES" w:eastAsia="es-ES"/>
        </w:rPr>
        <w:t xml:space="preserve"> cuando no existan normas expresas que así lo establezcan, precisamente en virtud del interés público que se intenta satisfacer.</w:t>
      </w:r>
    </w:p>
    <w:p w:rsidR="002E7B8C" w:rsidRDefault="00476B9A">
      <w:pPr>
        <w:kinsoku w:val="0"/>
        <w:overflowPunct w:val="0"/>
        <w:autoSpaceDE/>
        <w:autoSpaceDN/>
        <w:adjustRightInd/>
        <w:spacing w:before="223" w:line="231" w:lineRule="exact"/>
        <w:ind w:left="1008" w:right="1008"/>
        <w:jc w:val="both"/>
        <w:textAlignment w:val="baseline"/>
        <w:rPr>
          <w:lang w:val="es-ES" w:eastAsia="es-ES"/>
        </w:rPr>
      </w:pPr>
      <w:r>
        <w:rPr>
          <w:lang w:val="es-ES" w:eastAsia="es-ES"/>
        </w:rPr>
        <w:t xml:space="preserve">En el Derecho Público la Administración está dotada de especiales prerrogativas, toda vez </w:t>
      </w:r>
      <w:proofErr w:type="gramStart"/>
      <w:r>
        <w:rPr>
          <w:lang w:val="es-ES" w:eastAsia="es-ES"/>
        </w:rPr>
        <w:t>que</w:t>
      </w:r>
      <w:proofErr w:type="gramEnd"/>
      <w:r>
        <w:rPr>
          <w:lang w:val="es-ES" w:eastAsia="es-ES"/>
        </w:rPr>
        <w:t xml:space="preserve"> en virtud del contrato, el concesionario queda sujeto (o subordinado a la Administración):</w:t>
      </w:r>
    </w:p>
    <w:p w:rsidR="002E7B8C" w:rsidRDefault="00476B9A">
      <w:pPr>
        <w:kinsoku w:val="0"/>
        <w:overflowPunct w:val="0"/>
        <w:autoSpaceDE/>
        <w:autoSpaceDN/>
        <w:adjustRightInd/>
        <w:spacing w:before="217" w:line="231" w:lineRule="exact"/>
        <w:ind w:left="1008" w:right="1008"/>
        <w:jc w:val="both"/>
        <w:textAlignment w:val="baseline"/>
        <w:rPr>
          <w:spacing w:val="-2"/>
          <w:lang w:val="es-ES" w:eastAsia="es-ES"/>
        </w:rPr>
      </w:pPr>
      <w:r>
        <w:rPr>
          <w:spacing w:val="-2"/>
          <w:lang w:val="es-ES" w:eastAsia="es-ES"/>
        </w:rPr>
        <w:t>"Es así como ésta [la Administración</w:t>
      </w:r>
      <w:proofErr w:type="gramStart"/>
      <w:r>
        <w:rPr>
          <w:spacing w:val="-2"/>
          <w:lang w:val="es-ES" w:eastAsia="es-ES"/>
        </w:rPr>
        <w:t>] ,</w:t>
      </w:r>
      <w:proofErr w:type="gramEnd"/>
      <w:r>
        <w:rPr>
          <w:spacing w:val="-2"/>
          <w:lang w:val="es-ES" w:eastAsia="es-ES"/>
        </w:rPr>
        <w:t xml:space="preserve"> dentro de ciertos límites, puede ejercer sobre su </w:t>
      </w:r>
      <w:proofErr w:type="spellStart"/>
      <w:r>
        <w:rPr>
          <w:spacing w:val="-2"/>
          <w:lang w:val="es-ES" w:eastAsia="es-ES"/>
        </w:rPr>
        <w:t>cocontratante</w:t>
      </w:r>
      <w:proofErr w:type="spellEnd"/>
      <w:r>
        <w:rPr>
          <w:spacing w:val="-2"/>
          <w:lang w:val="es-ES" w:eastAsia="es-ES"/>
        </w:rPr>
        <w:t xml:space="preserve"> un cierto control de alcance excepcional; puede modificar unilateralmente las cláusulas del contrato; puede dar directrices a la otra parte; incluso puede declarar extinguido el contrato; etc. </w:t>
      </w:r>
      <w:proofErr w:type="spellStart"/>
      <w:r>
        <w:rPr>
          <w:spacing w:val="-2"/>
          <w:lang w:val="es-ES" w:eastAsia="es-ES"/>
        </w:rPr>
        <w:t>Trátase</w:t>
      </w:r>
      <w:proofErr w:type="spellEnd"/>
      <w:r>
        <w:rPr>
          <w:spacing w:val="-2"/>
          <w:lang w:val="es-ES" w:eastAsia="es-ES"/>
        </w:rPr>
        <w:t xml:space="preserv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w:t>
      </w:r>
    </w:p>
    <w:p w:rsidR="002E7B8C" w:rsidRDefault="00476B9A">
      <w:pPr>
        <w:kinsoku w:val="0"/>
        <w:overflowPunct w:val="0"/>
        <w:autoSpaceDE/>
        <w:autoSpaceDN/>
        <w:adjustRightInd/>
        <w:spacing w:before="225" w:line="230" w:lineRule="exact"/>
        <w:ind w:left="1008" w:right="1008"/>
        <w:jc w:val="both"/>
        <w:textAlignment w:val="baseline"/>
        <w:rPr>
          <w:i/>
          <w:iCs/>
          <w:spacing w:val="-2"/>
          <w:u w:val="single"/>
          <w:lang w:val="es-ES" w:eastAsia="es-ES"/>
        </w:rPr>
      </w:pPr>
      <w:r>
        <w:rPr>
          <w:spacing w:val="-2"/>
          <w:lang w:val="es-ES" w:eastAsia="es-ES"/>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w:t>
      </w:r>
      <w:r w:rsidRPr="00E603DB">
        <w:rPr>
          <w:b/>
          <w:i/>
          <w:iCs/>
          <w:spacing w:val="-2"/>
          <w:u w:val="single"/>
          <w:lang w:val="es-ES" w:eastAsia="es-ES"/>
        </w:rPr>
        <w:t>Por su parte, el control ejercido sobre los servicios públicos es diferente en su fundamento y finalidad, toda vez que a través de él se intenta garantizar</w:t>
      </w:r>
    </w:p>
    <w:p w:rsidR="002E7B8C" w:rsidRDefault="002E7B8C">
      <w:pPr>
        <w:widowControl/>
        <w:rPr>
          <w:sz w:val="24"/>
          <w:szCs w:val="24"/>
        </w:rPr>
        <w:sectPr w:rsidR="002E7B8C">
          <w:pgSz w:w="12278" w:h="15797"/>
          <w:pgMar w:top="1500" w:right="1445" w:bottom="821" w:left="1653" w:header="720" w:footer="720" w:gutter="0"/>
          <w:cols w:space="720"/>
          <w:noEndnote/>
        </w:sectPr>
      </w:pPr>
    </w:p>
    <w:p w:rsidR="002E7B8C" w:rsidRDefault="00476B9A">
      <w:pPr>
        <w:kinsoku w:val="0"/>
        <w:overflowPunct w:val="0"/>
        <w:autoSpaceDE/>
        <w:autoSpaceDN/>
        <w:adjustRightInd/>
        <w:spacing w:before="23" w:line="229" w:lineRule="exact"/>
        <w:ind w:left="864" w:right="1152"/>
        <w:jc w:val="both"/>
        <w:textAlignment w:val="baseline"/>
        <w:rPr>
          <w:spacing w:val="-4"/>
          <w:sz w:val="21"/>
          <w:szCs w:val="21"/>
          <w:lang w:val="es-ES" w:eastAsia="es-ES"/>
        </w:rPr>
      </w:pPr>
      <w:r w:rsidRPr="00E603DB">
        <w:rPr>
          <w:b/>
          <w:i/>
          <w:iCs/>
          <w:spacing w:val="-4"/>
          <w:sz w:val="21"/>
          <w:szCs w:val="21"/>
          <w:u w:val="single"/>
          <w:lang w:val="es-ES" w:eastAsia="es-ES"/>
        </w:rPr>
        <w:lastRenderedPageBreak/>
        <w:t>la continuidad en la prestación del servicio público</w:t>
      </w:r>
      <w:r>
        <w:rPr>
          <w:i/>
          <w:iCs/>
          <w:spacing w:val="-4"/>
          <w:sz w:val="21"/>
          <w:szCs w:val="21"/>
          <w:u w:val="single"/>
          <w:lang w:val="es-ES" w:eastAsia="es-ES"/>
        </w:rPr>
        <w:t>.</w:t>
      </w:r>
      <w:r>
        <w:rPr>
          <w:spacing w:val="-4"/>
          <w:sz w:val="21"/>
          <w:szCs w:val="21"/>
          <w:lang w:val="es-ES" w:eastAsia="es-ES"/>
        </w:rPr>
        <w:t xml:space="preserve">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 (...)" (Lo resaltado no es del original)</w:t>
      </w:r>
    </w:p>
    <w:p w:rsidR="00E603DB" w:rsidRDefault="00E603DB" w:rsidP="00E603DB">
      <w:pPr>
        <w:kinsoku w:val="0"/>
        <w:overflowPunct w:val="0"/>
        <w:autoSpaceDE/>
        <w:autoSpaceDN/>
        <w:adjustRightInd/>
        <w:spacing w:before="100" w:beforeAutospacing="1" w:line="318" w:lineRule="exact"/>
        <w:ind w:right="289"/>
        <w:jc w:val="both"/>
        <w:textAlignment w:val="baseline"/>
        <w:rPr>
          <w:spacing w:val="18"/>
          <w:szCs w:val="21"/>
          <w:lang w:val="es-ES" w:eastAsia="es-ES"/>
        </w:rPr>
      </w:pPr>
    </w:p>
    <w:p w:rsidR="002E7B8C" w:rsidRDefault="00476B9A" w:rsidP="00E603DB">
      <w:pPr>
        <w:kinsoku w:val="0"/>
        <w:overflowPunct w:val="0"/>
        <w:autoSpaceDE/>
        <w:autoSpaceDN/>
        <w:adjustRightInd/>
        <w:spacing w:before="100" w:beforeAutospacing="1" w:line="318" w:lineRule="exact"/>
        <w:ind w:right="289"/>
        <w:jc w:val="both"/>
        <w:textAlignment w:val="baseline"/>
        <w:rPr>
          <w:spacing w:val="18"/>
          <w:sz w:val="21"/>
          <w:szCs w:val="21"/>
          <w:lang w:val="es-ES" w:eastAsia="es-ES"/>
        </w:rPr>
      </w:pPr>
      <w:r w:rsidRPr="00E603DB">
        <w:rPr>
          <w:spacing w:val="8"/>
          <w:lang w:val="es-ES" w:eastAsia="es-ES"/>
        </w:rPr>
        <w:t>Aunado a lo anterior, el Tribunal Administrativo de Transporte, tampoco vislumbra ausencia de alguno de los requisitos esenciales del acto que en su conformación lo viciaran de nulidad, por lo que al no existir elementos que sustenten una nulidad del acto impugnado, el recurso y su incidencia deviene en extemporáneo</w:t>
      </w:r>
      <w:r>
        <w:rPr>
          <w:spacing w:val="18"/>
          <w:sz w:val="21"/>
          <w:szCs w:val="21"/>
          <w:lang w:val="es-ES" w:eastAsia="es-ES"/>
        </w:rPr>
        <w:t>.</w:t>
      </w:r>
    </w:p>
    <w:p w:rsidR="002E7B8C" w:rsidRDefault="00476B9A">
      <w:pPr>
        <w:kinsoku w:val="0"/>
        <w:overflowPunct w:val="0"/>
        <w:autoSpaceDE/>
        <w:autoSpaceDN/>
        <w:adjustRightInd/>
        <w:spacing w:before="277" w:line="259" w:lineRule="exact"/>
        <w:jc w:val="center"/>
        <w:textAlignment w:val="baseline"/>
        <w:rPr>
          <w:b/>
          <w:bCs/>
          <w:spacing w:val="17"/>
          <w:sz w:val="21"/>
          <w:szCs w:val="21"/>
          <w:lang w:val="es-ES" w:eastAsia="es-ES"/>
        </w:rPr>
      </w:pPr>
      <w:r>
        <w:rPr>
          <w:b/>
          <w:bCs/>
          <w:spacing w:val="17"/>
          <w:sz w:val="21"/>
          <w:szCs w:val="21"/>
          <w:lang w:val="es-ES" w:eastAsia="es-ES"/>
        </w:rPr>
        <w:t>POR TANTO</w:t>
      </w:r>
    </w:p>
    <w:p w:rsidR="002E7B8C" w:rsidRDefault="00476B9A">
      <w:pPr>
        <w:numPr>
          <w:ilvl w:val="0"/>
          <w:numId w:val="11"/>
        </w:numPr>
        <w:kinsoku w:val="0"/>
        <w:overflowPunct w:val="0"/>
        <w:autoSpaceDE/>
        <w:autoSpaceDN/>
        <w:adjustRightInd/>
        <w:spacing w:before="321" w:line="320" w:lineRule="exact"/>
        <w:ind w:right="288"/>
        <w:jc w:val="both"/>
        <w:textAlignment w:val="baseline"/>
        <w:rPr>
          <w:spacing w:val="5"/>
          <w:sz w:val="21"/>
          <w:szCs w:val="21"/>
          <w:lang w:val="es-ES" w:eastAsia="es-ES"/>
        </w:rPr>
      </w:pPr>
      <w:r>
        <w:rPr>
          <w:spacing w:val="5"/>
          <w:sz w:val="21"/>
          <w:szCs w:val="21"/>
          <w:lang w:val="es-ES" w:eastAsia="es-ES"/>
        </w:rPr>
        <w:t xml:space="preserve">Se dispone </w:t>
      </w:r>
      <w:r w:rsidRPr="00E603DB">
        <w:rPr>
          <w:b/>
          <w:spacing w:val="5"/>
          <w:sz w:val="19"/>
          <w:szCs w:val="19"/>
          <w:u w:val="single"/>
          <w:lang w:val="es-ES" w:eastAsia="es-ES"/>
        </w:rPr>
        <w:t>RECHAZAR POR EXTEMPORÁNEO</w:t>
      </w:r>
      <w:r>
        <w:rPr>
          <w:spacing w:val="5"/>
          <w:sz w:val="21"/>
          <w:szCs w:val="21"/>
          <w:lang w:val="es-ES" w:eastAsia="es-ES"/>
        </w:rPr>
        <w:t xml:space="preserve"> el </w:t>
      </w:r>
      <w:r w:rsidRPr="00E603DB">
        <w:rPr>
          <w:b/>
          <w:spacing w:val="5"/>
          <w:sz w:val="21"/>
          <w:szCs w:val="21"/>
          <w:lang w:val="es-ES" w:eastAsia="es-ES"/>
        </w:rPr>
        <w:t>RECURSO DE APELACIÓN EN SUBSIDIO Y NULIDAD ABSOLUTA CONCOMITANTE</w:t>
      </w:r>
      <w:r>
        <w:rPr>
          <w:spacing w:val="5"/>
          <w:sz w:val="21"/>
          <w:szCs w:val="21"/>
          <w:lang w:val="es-ES" w:eastAsia="es-ES"/>
        </w:rPr>
        <w:t xml:space="preserve">, interpuesto por la empresa </w:t>
      </w:r>
      <w:r w:rsidRPr="00E603DB">
        <w:rPr>
          <w:b/>
          <w:spacing w:val="5"/>
          <w:sz w:val="21"/>
          <w:szCs w:val="21"/>
          <w:lang w:val="es-ES" w:eastAsia="es-ES"/>
        </w:rPr>
        <w:t>T</w:t>
      </w:r>
      <w:r w:rsidR="00E603DB">
        <w:rPr>
          <w:b/>
          <w:spacing w:val="5"/>
          <w:sz w:val="21"/>
          <w:szCs w:val="21"/>
          <w:lang w:val="es-ES" w:eastAsia="es-ES"/>
        </w:rPr>
        <w:t>.C.P.L.</w:t>
      </w:r>
      <w:r>
        <w:rPr>
          <w:spacing w:val="5"/>
          <w:sz w:val="21"/>
          <w:szCs w:val="21"/>
          <w:lang w:val="es-ES" w:eastAsia="es-ES"/>
        </w:rPr>
        <w:t xml:space="preserve">, cédula jurídica número </w:t>
      </w:r>
      <w:r w:rsidR="00E603DB">
        <w:rPr>
          <w:spacing w:val="5"/>
          <w:sz w:val="21"/>
          <w:szCs w:val="21"/>
          <w:lang w:val="es-ES" w:eastAsia="es-ES"/>
        </w:rPr>
        <w:t>…</w:t>
      </w:r>
      <w:r>
        <w:rPr>
          <w:spacing w:val="5"/>
          <w:sz w:val="21"/>
          <w:szCs w:val="21"/>
          <w:lang w:val="es-ES" w:eastAsia="es-ES"/>
        </w:rPr>
        <w:t xml:space="preserve">; representada por </w:t>
      </w:r>
      <w:r w:rsidRPr="000D46E7">
        <w:rPr>
          <w:b/>
          <w:spacing w:val="5"/>
          <w:sz w:val="21"/>
          <w:szCs w:val="21"/>
          <w:lang w:val="es-ES" w:eastAsia="es-ES"/>
        </w:rPr>
        <w:t>R</w:t>
      </w:r>
      <w:r w:rsidR="000D46E7">
        <w:rPr>
          <w:b/>
          <w:spacing w:val="5"/>
          <w:sz w:val="21"/>
          <w:szCs w:val="21"/>
          <w:lang w:val="es-ES" w:eastAsia="es-ES"/>
        </w:rPr>
        <w:t>.S.S.K.</w:t>
      </w:r>
      <w:r>
        <w:rPr>
          <w:spacing w:val="5"/>
          <w:sz w:val="21"/>
          <w:szCs w:val="21"/>
          <w:lang w:val="es-ES" w:eastAsia="es-ES"/>
        </w:rPr>
        <w:t xml:space="preserve">, portador de la cédula de identidad número </w:t>
      </w:r>
      <w:r w:rsidR="000D46E7">
        <w:rPr>
          <w:spacing w:val="5"/>
          <w:sz w:val="21"/>
          <w:szCs w:val="21"/>
          <w:lang w:val="es-ES" w:eastAsia="es-ES"/>
        </w:rPr>
        <w:t>…</w:t>
      </w:r>
      <w:r>
        <w:rPr>
          <w:spacing w:val="5"/>
          <w:sz w:val="21"/>
          <w:szCs w:val="21"/>
          <w:lang w:val="es-ES" w:eastAsia="es-ES"/>
        </w:rPr>
        <w:t xml:space="preserve">, en su condición de apoderado generalísimo sin límite de suma; en contra del </w:t>
      </w:r>
      <w:r>
        <w:rPr>
          <w:b/>
          <w:bCs/>
          <w:spacing w:val="5"/>
          <w:sz w:val="21"/>
          <w:szCs w:val="21"/>
          <w:lang w:val="es-ES" w:eastAsia="es-ES"/>
        </w:rPr>
        <w:t xml:space="preserve">Artículo 7.12 de la Sesión Ordinaria 61-2016, celebrada el 1° de diciembre del 2016, </w:t>
      </w:r>
      <w:r>
        <w:rPr>
          <w:spacing w:val="5"/>
          <w:sz w:val="21"/>
          <w:szCs w:val="21"/>
          <w:lang w:val="es-ES" w:eastAsia="es-ES"/>
        </w:rPr>
        <w:t>adoptado por la Junta Directiva del Consejo de Transporte Público.</w:t>
      </w:r>
    </w:p>
    <w:p w:rsidR="002E7B8C" w:rsidRPr="000D46E7" w:rsidRDefault="00476B9A">
      <w:pPr>
        <w:numPr>
          <w:ilvl w:val="0"/>
          <w:numId w:val="11"/>
        </w:numPr>
        <w:kinsoku w:val="0"/>
        <w:overflowPunct w:val="0"/>
        <w:autoSpaceDE/>
        <w:autoSpaceDN/>
        <w:adjustRightInd/>
        <w:spacing w:before="296" w:after="421" w:line="346" w:lineRule="exact"/>
        <w:ind w:right="288"/>
        <w:jc w:val="both"/>
        <w:textAlignment w:val="baseline"/>
        <w:rPr>
          <w:i/>
          <w:iCs/>
          <w:spacing w:val="4"/>
          <w:sz w:val="25"/>
          <w:szCs w:val="25"/>
          <w:lang w:val="es-ES" w:eastAsia="es-ES"/>
        </w:rPr>
      </w:pPr>
      <w:r>
        <w:rPr>
          <w:spacing w:val="4"/>
          <w:sz w:val="21"/>
          <w:szCs w:val="21"/>
          <w:lang w:val="es-ES" w:eastAsia="es-ES"/>
        </w:rPr>
        <w:t xml:space="preserve">De conformidad con el artículo 22, inciso c), de la citada Ley 7969, la presente resolución no tiene ulterior recurso por lo que, se </w:t>
      </w:r>
      <w:r>
        <w:rPr>
          <w:i/>
          <w:iCs/>
          <w:spacing w:val="4"/>
          <w:sz w:val="25"/>
          <w:szCs w:val="25"/>
          <w:lang w:val="es-ES" w:eastAsia="es-ES"/>
        </w:rPr>
        <w:t xml:space="preserve">tiene por agotada la vía administrativa. </w:t>
      </w:r>
      <w:r w:rsidRPr="000D46E7">
        <w:rPr>
          <w:b/>
          <w:i/>
          <w:iCs/>
          <w:spacing w:val="4"/>
          <w:sz w:val="25"/>
          <w:szCs w:val="25"/>
          <w:lang w:val="es-ES" w:eastAsia="es-ES"/>
        </w:rPr>
        <w:t xml:space="preserve">NOTIFÍQUESE. </w:t>
      </w:r>
      <w:r w:rsidR="000D46E7">
        <w:rPr>
          <w:b/>
          <w:i/>
          <w:iCs/>
          <w:spacing w:val="4"/>
          <w:sz w:val="25"/>
          <w:szCs w:val="25"/>
          <w:lang w:val="es-ES" w:eastAsia="es-ES"/>
        </w:rPr>
        <w:t>–</w:t>
      </w:r>
    </w:p>
    <w:p w:rsidR="000D46E7" w:rsidRDefault="000D46E7" w:rsidP="000D46E7">
      <w:pPr>
        <w:kinsoku w:val="0"/>
        <w:overflowPunct w:val="0"/>
        <w:autoSpaceDE/>
        <w:autoSpaceDN/>
        <w:adjustRightInd/>
        <w:spacing w:after="374" w:line="320" w:lineRule="exact"/>
        <w:ind w:right="72"/>
        <w:textAlignment w:val="baseline"/>
        <w:rPr>
          <w:i/>
          <w:iCs/>
          <w:spacing w:val="5"/>
          <w:sz w:val="26"/>
          <w:szCs w:val="26"/>
        </w:rPr>
      </w:pPr>
    </w:p>
    <w:p w:rsidR="000D46E7" w:rsidRPr="00DE692E" w:rsidRDefault="000D46E7" w:rsidP="000D46E7">
      <w:pPr>
        <w:kinsoku w:val="0"/>
        <w:overflowPunct w:val="0"/>
        <w:autoSpaceDE/>
        <w:autoSpaceDN/>
        <w:adjustRightInd/>
        <w:spacing w:after="374" w:line="320" w:lineRule="exact"/>
        <w:ind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Carlos Miguel Portuguez Méndez</w:t>
      </w:r>
    </w:p>
    <w:p w:rsidR="000D46E7" w:rsidRPr="00DE692E" w:rsidRDefault="000D46E7" w:rsidP="000D46E7">
      <w:pPr>
        <w:kinsoku w:val="0"/>
        <w:overflowPunct w:val="0"/>
        <w:autoSpaceDE/>
        <w:autoSpaceDN/>
        <w:adjustRightInd/>
        <w:spacing w:after="301" w:line="288" w:lineRule="exact"/>
        <w:jc w:val="center"/>
        <w:textAlignment w:val="baseline"/>
        <w:rPr>
          <w:b/>
          <w:i/>
          <w:iCs/>
          <w:spacing w:val="5"/>
          <w:sz w:val="26"/>
          <w:szCs w:val="26"/>
          <w:lang w:val="es-CR"/>
        </w:rPr>
      </w:pPr>
      <w:r w:rsidRPr="00DE692E">
        <w:rPr>
          <w:b/>
          <w:i/>
          <w:iCs/>
          <w:spacing w:val="5"/>
          <w:sz w:val="26"/>
          <w:szCs w:val="26"/>
          <w:lang w:val="es-CR"/>
        </w:rPr>
        <w:t>Presidente</w:t>
      </w:r>
    </w:p>
    <w:p w:rsidR="000D46E7" w:rsidRDefault="000D46E7" w:rsidP="000D46E7">
      <w:pPr>
        <w:kinsoku w:val="0"/>
        <w:overflowPunct w:val="0"/>
        <w:autoSpaceDE/>
        <w:autoSpaceDN/>
        <w:adjustRightInd/>
        <w:spacing w:after="870" w:line="303" w:lineRule="exact"/>
        <w:ind w:right="216"/>
        <w:jc w:val="center"/>
        <w:textAlignment w:val="baseline"/>
        <w:rPr>
          <w:b/>
          <w:sz w:val="24"/>
          <w:szCs w:val="24"/>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0D46E7" w:rsidRDefault="000D46E7" w:rsidP="000D46E7">
      <w:pPr>
        <w:kinsoku w:val="0"/>
        <w:overflowPunct w:val="0"/>
        <w:autoSpaceDE/>
        <w:autoSpaceDN/>
        <w:adjustRightInd/>
        <w:spacing w:before="296" w:after="421" w:line="346" w:lineRule="exact"/>
        <w:ind w:right="288"/>
        <w:jc w:val="both"/>
        <w:textAlignment w:val="baseline"/>
        <w:rPr>
          <w:i/>
          <w:iCs/>
          <w:spacing w:val="4"/>
          <w:sz w:val="25"/>
          <w:szCs w:val="25"/>
          <w:lang w:val="es-ES" w:eastAsia="es-ES"/>
        </w:rPr>
      </w:pPr>
    </w:p>
    <w:p w:rsidR="002E7B8C" w:rsidRDefault="002E7B8C" w:rsidP="000D46E7">
      <w:pPr>
        <w:kinsoku w:val="0"/>
        <w:overflowPunct w:val="0"/>
        <w:autoSpaceDE/>
        <w:autoSpaceDN/>
        <w:adjustRightInd/>
        <w:spacing w:after="506"/>
        <w:ind w:right="2"/>
        <w:textAlignment w:val="baseline"/>
        <w:rPr>
          <w:sz w:val="24"/>
          <w:szCs w:val="24"/>
        </w:rPr>
        <w:sectPr w:rsidR="002E7B8C">
          <w:pgSz w:w="12278" w:h="15797"/>
          <w:pgMar w:top="1360" w:right="1423" w:bottom="1001" w:left="1675" w:header="720" w:footer="720" w:gutter="0"/>
          <w:cols w:space="720"/>
          <w:noEndnote/>
        </w:sectPr>
      </w:pPr>
    </w:p>
    <w:p w:rsidR="00476B9A" w:rsidRDefault="00476B9A" w:rsidP="000D46E7">
      <w:pPr>
        <w:tabs>
          <w:tab w:val="right" w:pos="2448"/>
        </w:tabs>
        <w:kinsoku w:val="0"/>
        <w:overflowPunct w:val="0"/>
        <w:autoSpaceDE/>
        <w:autoSpaceDN/>
        <w:adjustRightInd/>
        <w:spacing w:line="258" w:lineRule="exact"/>
        <w:textAlignment w:val="baseline"/>
        <w:rPr>
          <w:b/>
          <w:bCs/>
          <w:sz w:val="19"/>
          <w:szCs w:val="19"/>
          <w:lang w:val="es-ES" w:eastAsia="es-ES"/>
        </w:rPr>
      </w:pPr>
    </w:p>
    <w:sectPr w:rsidR="00476B9A">
      <w:type w:val="continuous"/>
      <w:pgSz w:w="12278" w:h="15797"/>
      <w:pgMar w:top="1360" w:right="1603" w:bottom="1001" w:left="815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933A"/>
    <w:multiLevelType w:val="singleLevel"/>
    <w:tmpl w:val="627C69BB"/>
    <w:lvl w:ilvl="0">
      <w:start w:val="10"/>
      <w:numFmt w:val="lowerLetter"/>
      <w:lvlText w:val="%1)"/>
      <w:lvlJc w:val="left"/>
      <w:pPr>
        <w:tabs>
          <w:tab w:val="num" w:pos="1224"/>
        </w:tabs>
        <w:ind w:left="1008"/>
      </w:pPr>
      <w:rPr>
        <w:i/>
        <w:iCs/>
        <w:snapToGrid/>
        <w:sz w:val="20"/>
        <w:szCs w:val="20"/>
      </w:rPr>
    </w:lvl>
  </w:abstractNum>
  <w:abstractNum w:abstractNumId="1" w15:restartNumberingAfterBreak="0">
    <w:nsid w:val="01EC2187"/>
    <w:multiLevelType w:val="singleLevel"/>
    <w:tmpl w:val="795641B8"/>
    <w:lvl w:ilvl="0">
      <w:start w:val="1"/>
      <w:numFmt w:val="decimal"/>
      <w:lvlText w:val="%1."/>
      <w:lvlJc w:val="left"/>
      <w:pPr>
        <w:tabs>
          <w:tab w:val="num" w:pos="1008"/>
        </w:tabs>
        <w:ind w:left="864"/>
      </w:pPr>
      <w:rPr>
        <w:snapToGrid/>
        <w:sz w:val="20"/>
        <w:szCs w:val="20"/>
      </w:rPr>
    </w:lvl>
  </w:abstractNum>
  <w:abstractNum w:abstractNumId="2" w15:restartNumberingAfterBreak="0">
    <w:nsid w:val="021853CD"/>
    <w:multiLevelType w:val="singleLevel"/>
    <w:tmpl w:val="176019D6"/>
    <w:lvl w:ilvl="0">
      <w:start w:val="1"/>
      <w:numFmt w:val="lowerLetter"/>
      <w:lvlText w:val="%1)"/>
      <w:lvlJc w:val="left"/>
      <w:pPr>
        <w:tabs>
          <w:tab w:val="num" w:pos="1152"/>
        </w:tabs>
        <w:ind w:left="936"/>
      </w:pPr>
      <w:rPr>
        <w:b/>
        <w:i/>
        <w:iCs/>
        <w:snapToGrid/>
        <w:sz w:val="20"/>
        <w:szCs w:val="20"/>
      </w:rPr>
    </w:lvl>
  </w:abstractNum>
  <w:abstractNum w:abstractNumId="3" w15:restartNumberingAfterBreak="0">
    <w:nsid w:val="0607CA6F"/>
    <w:multiLevelType w:val="singleLevel"/>
    <w:tmpl w:val="11C596F0"/>
    <w:lvl w:ilvl="0">
      <w:start w:val="1"/>
      <w:numFmt w:val="lowerLetter"/>
      <w:lvlText w:val="%1)"/>
      <w:lvlJc w:val="left"/>
      <w:pPr>
        <w:tabs>
          <w:tab w:val="num" w:pos="288"/>
        </w:tabs>
        <w:ind w:left="72"/>
      </w:pPr>
      <w:rPr>
        <w:snapToGrid/>
        <w:sz w:val="21"/>
        <w:szCs w:val="21"/>
      </w:rPr>
    </w:lvl>
  </w:abstractNum>
  <w:abstractNum w:abstractNumId="4" w15:restartNumberingAfterBreak="0">
    <w:nsid w:val="0636A77E"/>
    <w:multiLevelType w:val="singleLevel"/>
    <w:tmpl w:val="7B88CDF2"/>
    <w:lvl w:ilvl="0">
      <w:start w:val="1"/>
      <w:numFmt w:val="decimal"/>
      <w:lvlText w:val="%1."/>
      <w:lvlJc w:val="left"/>
      <w:pPr>
        <w:tabs>
          <w:tab w:val="num" w:pos="1080"/>
        </w:tabs>
        <w:ind w:left="936"/>
      </w:pPr>
      <w:rPr>
        <w:snapToGrid/>
        <w:sz w:val="20"/>
        <w:szCs w:val="20"/>
      </w:rPr>
    </w:lvl>
  </w:abstractNum>
  <w:abstractNum w:abstractNumId="5" w15:restartNumberingAfterBreak="0">
    <w:nsid w:val="06A35B50"/>
    <w:multiLevelType w:val="singleLevel"/>
    <w:tmpl w:val="80E69C2C"/>
    <w:lvl w:ilvl="0">
      <w:start w:val="1"/>
      <w:numFmt w:val="decimal"/>
      <w:lvlText w:val="%1.-"/>
      <w:lvlJc w:val="left"/>
      <w:pPr>
        <w:tabs>
          <w:tab w:val="num" w:pos="288"/>
        </w:tabs>
        <w:ind w:left="72"/>
      </w:pPr>
      <w:rPr>
        <w:b/>
        <w:bCs/>
        <w:snapToGrid/>
        <w:sz w:val="23"/>
        <w:szCs w:val="23"/>
      </w:rPr>
    </w:lvl>
  </w:abstractNum>
  <w:abstractNum w:abstractNumId="6" w15:restartNumberingAfterBreak="0">
    <w:nsid w:val="06C00493"/>
    <w:multiLevelType w:val="singleLevel"/>
    <w:tmpl w:val="1CB0106D"/>
    <w:lvl w:ilvl="0">
      <w:start w:val="1"/>
      <w:numFmt w:val="lowerLetter"/>
      <w:lvlText w:val="%1)"/>
      <w:lvlJc w:val="left"/>
      <w:pPr>
        <w:tabs>
          <w:tab w:val="num" w:pos="288"/>
        </w:tabs>
        <w:ind w:left="72"/>
      </w:pPr>
      <w:rPr>
        <w:snapToGrid/>
        <w:spacing w:val="-4"/>
        <w:sz w:val="23"/>
        <w:szCs w:val="23"/>
      </w:rPr>
    </w:lvl>
  </w:abstractNum>
  <w:abstractNum w:abstractNumId="7" w15:restartNumberingAfterBreak="0">
    <w:nsid w:val="076E30BB"/>
    <w:multiLevelType w:val="singleLevel"/>
    <w:tmpl w:val="B7969A26"/>
    <w:lvl w:ilvl="0">
      <w:start w:val="1"/>
      <w:numFmt w:val="upperRoman"/>
      <w:lvlText w:val="%1.-"/>
      <w:lvlJc w:val="left"/>
      <w:pPr>
        <w:tabs>
          <w:tab w:val="num" w:pos="360"/>
        </w:tabs>
      </w:pPr>
      <w:rPr>
        <w:b/>
        <w:i w:val="0"/>
        <w:snapToGrid/>
        <w:spacing w:val="5"/>
        <w:sz w:val="21"/>
        <w:szCs w:val="21"/>
      </w:rPr>
    </w:lvl>
  </w:abstractNum>
  <w:abstractNum w:abstractNumId="8" w15:restartNumberingAfterBreak="0">
    <w:nsid w:val="07AD66BA"/>
    <w:multiLevelType w:val="singleLevel"/>
    <w:tmpl w:val="51FEA71E"/>
    <w:lvl w:ilvl="0">
      <w:start w:val="7"/>
      <w:numFmt w:val="lowerLetter"/>
      <w:lvlText w:val="%1)"/>
      <w:lvlJc w:val="left"/>
      <w:pPr>
        <w:tabs>
          <w:tab w:val="num" w:pos="1152"/>
        </w:tabs>
        <w:ind w:left="936"/>
      </w:pPr>
      <w:rPr>
        <w:i/>
        <w:iCs/>
        <w:snapToGrid/>
        <w:sz w:val="20"/>
        <w:szCs w:val="20"/>
      </w:rPr>
    </w:lvl>
  </w:abstractNum>
  <w:abstractNum w:abstractNumId="9" w15:restartNumberingAfterBreak="0">
    <w:nsid w:val="07EA783E"/>
    <w:multiLevelType w:val="singleLevel"/>
    <w:tmpl w:val="4302074E"/>
    <w:lvl w:ilvl="0">
      <w:start w:val="6"/>
      <w:numFmt w:val="lowerLetter"/>
      <w:lvlText w:val="%1)"/>
      <w:lvlJc w:val="left"/>
      <w:pPr>
        <w:tabs>
          <w:tab w:val="num" w:pos="288"/>
        </w:tabs>
        <w:ind w:left="72"/>
      </w:pPr>
      <w:rPr>
        <w:snapToGrid/>
        <w:spacing w:val="3"/>
        <w:sz w:val="21"/>
        <w:szCs w:val="21"/>
      </w:rPr>
    </w:lvl>
  </w:abstractNum>
  <w:num w:numId="1">
    <w:abstractNumId w:val="4"/>
  </w:num>
  <w:num w:numId="2">
    <w:abstractNumId w:val="1"/>
  </w:num>
  <w:num w:numId="3">
    <w:abstractNumId w:val="3"/>
  </w:num>
  <w:num w:numId="4">
    <w:abstractNumId w:val="9"/>
  </w:num>
  <w:num w:numId="5">
    <w:abstractNumId w:val="6"/>
  </w:num>
  <w:num w:numId="6">
    <w:abstractNumId w:val="5"/>
  </w:num>
  <w:num w:numId="7">
    <w:abstractNumId w:val="5"/>
    <w:lvlOverride w:ilvl="0">
      <w:lvl w:ilvl="0">
        <w:numFmt w:val="decimal"/>
        <w:lvlText w:val="%1.-"/>
        <w:lvlJc w:val="left"/>
        <w:pPr>
          <w:tabs>
            <w:tab w:val="num" w:pos="288"/>
          </w:tabs>
          <w:ind w:left="72"/>
        </w:pPr>
        <w:rPr>
          <w:b/>
          <w:snapToGrid/>
          <w:spacing w:val="-1"/>
          <w:sz w:val="23"/>
          <w:szCs w:val="23"/>
        </w:rPr>
      </w:lvl>
    </w:lvlOverride>
  </w:num>
  <w:num w:numId="8">
    <w:abstractNumId w:val="2"/>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DB"/>
    <w:rsid w:val="000D46E7"/>
    <w:rsid w:val="002E7B8C"/>
    <w:rsid w:val="00476B9A"/>
    <w:rsid w:val="00E43EF4"/>
    <w:rsid w:val="00E603D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FA6773-CA98-4E9C-98FA-330EF051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603DB"/>
    <w:rPr>
      <w:color w:val="0563C1" w:themeColor="hyperlink"/>
      <w:u w:val="single"/>
    </w:rPr>
  </w:style>
  <w:style w:type="character" w:styleId="Mencinsinresolver">
    <w:name w:val="Unresolved Mention"/>
    <w:basedOn w:val="Fuentedeprrafopredeter"/>
    <w:uiPriority w:val="99"/>
    <w:semiHidden/>
    <w:unhideWhenUsed/>
    <w:rsid w:val="00E603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yahoo.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3576</Words>
  <Characters>19670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2017-12-20T17:46:00Z</dcterms:created>
  <dcterms:modified xsi:type="dcterms:W3CDTF">2017-12-20T17:46:00Z</dcterms:modified>
</cp:coreProperties>
</file>